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A2E" w:rsidRPr="00957C0A" w:rsidRDefault="00575A2E" w:rsidP="00575A2E">
      <w:pPr>
        <w:snapToGrid w:val="0"/>
        <w:spacing w:line="360" w:lineRule="auto"/>
        <w:rPr>
          <w:rFonts w:ascii="华文中宋" w:eastAsia="华文中宋" w:hAnsi="华文中宋"/>
          <w:kern w:val="0"/>
          <w:sz w:val="32"/>
          <w:szCs w:val="32"/>
        </w:rPr>
      </w:pPr>
      <w:r w:rsidRPr="00957C0A">
        <w:rPr>
          <w:rFonts w:ascii="黑体" w:eastAsia="黑体" w:hAnsi="黑体" w:cs="黑体" w:hint="eastAsia"/>
          <w:kern w:val="0"/>
          <w:sz w:val="32"/>
          <w:szCs w:val="32"/>
        </w:rPr>
        <w:t>附件</w:t>
      </w:r>
    </w:p>
    <w:p w:rsidR="00575A2E" w:rsidRPr="00957C0A" w:rsidRDefault="00575A2E" w:rsidP="00575A2E">
      <w:pPr>
        <w:adjustRightInd w:val="0"/>
        <w:snapToGrid w:val="0"/>
        <w:spacing w:line="500" w:lineRule="exact"/>
        <w:jc w:val="center"/>
        <w:rPr>
          <w:rFonts w:ascii="华文中宋" w:eastAsia="华文中宋" w:hAnsi="华文中宋"/>
          <w:kern w:val="0"/>
          <w:sz w:val="36"/>
          <w:szCs w:val="36"/>
        </w:rPr>
      </w:pPr>
      <w:r w:rsidRPr="00957C0A">
        <w:rPr>
          <w:rFonts w:ascii="华文中宋" w:eastAsia="华文中宋" w:hAnsi="华文中宋" w:cs="华文中宋" w:hint="eastAsia"/>
          <w:kern w:val="0"/>
          <w:sz w:val="36"/>
          <w:szCs w:val="36"/>
        </w:rPr>
        <w:t>“石油化工联合基金”（</w:t>
      </w:r>
      <w:r w:rsidRPr="00957C0A">
        <w:rPr>
          <w:rFonts w:ascii="华文中宋" w:eastAsia="华文中宋" w:hAnsi="华文中宋" w:cs="华文中宋"/>
          <w:kern w:val="0"/>
          <w:sz w:val="36"/>
          <w:szCs w:val="36"/>
        </w:rPr>
        <w:t>A</w:t>
      </w:r>
      <w:r w:rsidRPr="00957C0A">
        <w:rPr>
          <w:rFonts w:ascii="华文中宋" w:eastAsia="华文中宋" w:hAnsi="华文中宋" w:cs="华文中宋" w:hint="eastAsia"/>
          <w:kern w:val="0"/>
          <w:sz w:val="36"/>
          <w:szCs w:val="36"/>
        </w:rPr>
        <w:t>类）</w:t>
      </w:r>
    </w:p>
    <w:p w:rsidR="00575A2E" w:rsidRPr="00957C0A" w:rsidRDefault="00575A2E" w:rsidP="00575A2E">
      <w:pPr>
        <w:adjustRightInd w:val="0"/>
        <w:snapToGrid w:val="0"/>
        <w:spacing w:afterLines="100" w:after="312" w:line="500" w:lineRule="exact"/>
        <w:jc w:val="center"/>
        <w:rPr>
          <w:rFonts w:ascii="仿宋_GB2312" w:eastAsia="仿宋_GB2312" w:hAnsi="宋体"/>
          <w:b/>
          <w:bCs/>
          <w:kern w:val="0"/>
          <w:sz w:val="32"/>
          <w:szCs w:val="32"/>
        </w:rPr>
      </w:pPr>
      <w:r w:rsidRPr="00957C0A">
        <w:rPr>
          <w:rFonts w:ascii="华文中宋" w:eastAsia="华文中宋" w:hAnsi="华文中宋" w:cs="华文中宋"/>
          <w:kern w:val="0"/>
          <w:sz w:val="36"/>
          <w:szCs w:val="36"/>
        </w:rPr>
        <w:t>201</w:t>
      </w:r>
      <w:r w:rsidRPr="00957C0A">
        <w:rPr>
          <w:rFonts w:ascii="华文中宋" w:eastAsia="华文中宋" w:hAnsi="华文中宋" w:cs="华文中宋" w:hint="eastAsia"/>
          <w:kern w:val="0"/>
          <w:sz w:val="36"/>
          <w:szCs w:val="36"/>
        </w:rPr>
        <w:t>5年度项目指南</w:t>
      </w:r>
      <w:bookmarkStart w:id="0" w:name="OLE_LINK1"/>
      <w:r w:rsidRPr="00957C0A">
        <w:rPr>
          <w:sz w:val="32"/>
          <w:szCs w:val="32"/>
        </w:rPr>
        <w:t xml:space="preserve">     </w:t>
      </w:r>
      <w:bookmarkStart w:id="1" w:name="_GoBack"/>
      <w:bookmarkEnd w:id="1"/>
      <w:r w:rsidRPr="00957C0A">
        <w:rPr>
          <w:sz w:val="32"/>
          <w:szCs w:val="32"/>
        </w:rPr>
        <w:t xml:space="preserve">  </w:t>
      </w:r>
      <w:bookmarkEnd w:id="0"/>
    </w:p>
    <w:p w:rsidR="00575A2E" w:rsidRPr="00957C0A" w:rsidRDefault="00575A2E" w:rsidP="00575A2E">
      <w:pPr>
        <w:widowControl/>
        <w:snapToGrid w:val="0"/>
        <w:spacing w:line="540" w:lineRule="exact"/>
        <w:ind w:firstLineChars="200" w:firstLine="640"/>
        <w:rPr>
          <w:rFonts w:ascii="黑体" w:eastAsia="黑体" w:hAnsi="黑体"/>
          <w:sz w:val="32"/>
          <w:szCs w:val="32"/>
        </w:rPr>
      </w:pPr>
      <w:r w:rsidRPr="00957C0A">
        <w:rPr>
          <w:rFonts w:ascii="黑体" w:eastAsia="黑体" w:hAnsi="黑体" w:cs="黑体" w:hint="eastAsia"/>
          <w:sz w:val="32"/>
          <w:szCs w:val="32"/>
        </w:rPr>
        <w:t>一、设立宗旨</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Times New Roman"/>
          <w:color w:val="auto"/>
          <w:sz w:val="32"/>
          <w:szCs w:val="32"/>
        </w:rPr>
      </w:pPr>
      <w:r w:rsidRPr="00957C0A">
        <w:rPr>
          <w:rFonts w:ascii="仿宋_GB2312" w:eastAsia="仿宋_GB2312" w:hAnsi="仿宋_GB2312" w:cs="仿宋_GB2312" w:hint="eastAsia"/>
          <w:color w:val="auto"/>
          <w:sz w:val="32"/>
          <w:szCs w:val="32"/>
        </w:rPr>
        <w:t>石油化工联合基金（</w:t>
      </w:r>
      <w:r w:rsidRPr="00957C0A">
        <w:rPr>
          <w:rFonts w:ascii="仿宋_GB2312" w:eastAsia="仿宋_GB2312" w:hAnsi="仿宋_GB2312" w:cs="仿宋_GB2312"/>
          <w:color w:val="auto"/>
          <w:sz w:val="32"/>
          <w:szCs w:val="32"/>
        </w:rPr>
        <w:t>A</w:t>
      </w:r>
      <w:r w:rsidRPr="00957C0A">
        <w:rPr>
          <w:rFonts w:ascii="仿宋_GB2312" w:eastAsia="仿宋_GB2312" w:hAnsi="仿宋_GB2312" w:cs="仿宋_GB2312" w:hint="eastAsia"/>
          <w:color w:val="auto"/>
          <w:sz w:val="32"/>
          <w:szCs w:val="32"/>
        </w:rPr>
        <w:t>类）由国家自然科学基金委员会（</w:t>
      </w:r>
      <w:r w:rsidRPr="00957C0A">
        <w:rPr>
          <w:rFonts w:ascii="仿宋_GB2312" w:eastAsia="仿宋_GB2312" w:hAnsi="仿宋_GB2312" w:cs="仿宋_GB2312"/>
          <w:color w:val="auto"/>
          <w:sz w:val="32"/>
          <w:szCs w:val="32"/>
        </w:rPr>
        <w:t>NSFC</w:t>
      </w:r>
      <w:r w:rsidRPr="00957C0A">
        <w:rPr>
          <w:rFonts w:ascii="仿宋_GB2312" w:eastAsia="仿宋_GB2312" w:hAnsi="仿宋_GB2312" w:cs="仿宋_GB2312" w:hint="eastAsia"/>
          <w:color w:val="auto"/>
          <w:sz w:val="32"/>
          <w:szCs w:val="32"/>
        </w:rPr>
        <w:t>）和中国石油天然气集团公司（</w:t>
      </w:r>
      <w:r w:rsidRPr="00957C0A">
        <w:rPr>
          <w:rFonts w:ascii="仿宋_GB2312" w:eastAsia="仿宋_GB2312" w:hAnsi="仿宋_GB2312" w:cs="仿宋_GB2312"/>
          <w:color w:val="auto"/>
          <w:sz w:val="32"/>
          <w:szCs w:val="32"/>
        </w:rPr>
        <w:t>CNPC</w:t>
      </w:r>
      <w:r w:rsidRPr="00957C0A">
        <w:rPr>
          <w:rFonts w:ascii="仿宋_GB2312" w:eastAsia="仿宋_GB2312" w:hAnsi="仿宋_GB2312" w:cs="仿宋_GB2312" w:hint="eastAsia"/>
          <w:color w:val="auto"/>
          <w:sz w:val="32"/>
          <w:szCs w:val="32"/>
        </w:rPr>
        <w:t>）共同出资设立，目的是紧密结合我国石油、石化领域战略发展面临的若干重大技术难题和关键科学理论问题，开展基础性、前瞻性和创新性的研究，促进知识与技术、院所与企业的协同创新，培养石油石化科技人才，进一步提升我国石油石化工业的科技自主创新能力和核心竞争力。</w:t>
      </w:r>
    </w:p>
    <w:p w:rsidR="00575A2E" w:rsidRPr="00957C0A" w:rsidRDefault="00575A2E" w:rsidP="00575A2E">
      <w:pPr>
        <w:widowControl/>
        <w:snapToGrid w:val="0"/>
        <w:spacing w:line="540" w:lineRule="exact"/>
        <w:ind w:firstLineChars="200" w:firstLine="640"/>
        <w:rPr>
          <w:rFonts w:ascii="黑体" w:eastAsia="黑体" w:hAnsi="黑体"/>
          <w:sz w:val="32"/>
          <w:szCs w:val="32"/>
        </w:rPr>
      </w:pPr>
      <w:r w:rsidRPr="00957C0A">
        <w:rPr>
          <w:rFonts w:ascii="黑体" w:eastAsia="黑体" w:hAnsi="黑体" w:cs="黑体" w:hint="eastAsia"/>
          <w:sz w:val="32"/>
          <w:szCs w:val="32"/>
        </w:rPr>
        <w:t>二、实施原则</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Times New Roman"/>
          <w:color w:val="auto"/>
          <w:sz w:val="32"/>
          <w:szCs w:val="32"/>
        </w:rPr>
      </w:pPr>
      <w:r w:rsidRPr="00957C0A">
        <w:rPr>
          <w:rFonts w:ascii="仿宋_GB2312" w:eastAsia="仿宋_GB2312" w:hAnsi="仿宋_GB2312" w:cs="仿宋_GB2312" w:hint="eastAsia"/>
          <w:color w:val="auto"/>
          <w:sz w:val="32"/>
          <w:szCs w:val="32"/>
        </w:rPr>
        <w:t>石油化工联合基金（</w:t>
      </w:r>
      <w:r w:rsidRPr="00957C0A">
        <w:rPr>
          <w:rFonts w:ascii="仿宋_GB2312" w:eastAsia="仿宋_GB2312" w:hAnsi="仿宋_GB2312" w:cs="仿宋_GB2312"/>
          <w:color w:val="auto"/>
          <w:sz w:val="32"/>
          <w:szCs w:val="32"/>
        </w:rPr>
        <w:t>A</w:t>
      </w:r>
      <w:r w:rsidRPr="00957C0A">
        <w:rPr>
          <w:rFonts w:ascii="仿宋_GB2312" w:eastAsia="仿宋_GB2312" w:hAnsi="仿宋_GB2312" w:cs="仿宋_GB2312" w:hint="eastAsia"/>
          <w:color w:val="auto"/>
          <w:sz w:val="32"/>
          <w:szCs w:val="32"/>
        </w:rPr>
        <w:t>类）作为国家自然科学基金的组成部分之一，其申请、评审和管理按照国家自然科学基金相关类型项目管理办法执行。由</w:t>
      </w:r>
      <w:r w:rsidRPr="00957C0A">
        <w:rPr>
          <w:rFonts w:ascii="仿宋_GB2312" w:eastAsia="仿宋_GB2312" w:hAnsi="仿宋_GB2312" w:cs="仿宋_GB2312"/>
          <w:color w:val="auto"/>
          <w:sz w:val="32"/>
          <w:szCs w:val="32"/>
        </w:rPr>
        <w:t>NSFC</w:t>
      </w:r>
      <w:r w:rsidRPr="00957C0A">
        <w:rPr>
          <w:rFonts w:ascii="仿宋_GB2312" w:eastAsia="仿宋_GB2312" w:hAnsi="仿宋_GB2312" w:cs="仿宋_GB2312" w:hint="eastAsia"/>
          <w:color w:val="auto"/>
          <w:sz w:val="32"/>
          <w:szCs w:val="32"/>
        </w:rPr>
        <w:t>和</w:t>
      </w:r>
      <w:r w:rsidRPr="00957C0A">
        <w:rPr>
          <w:rFonts w:ascii="仿宋_GB2312" w:eastAsia="仿宋_GB2312" w:hAnsi="仿宋_GB2312" w:cs="仿宋_GB2312"/>
          <w:color w:val="auto"/>
          <w:sz w:val="32"/>
          <w:szCs w:val="32"/>
        </w:rPr>
        <w:t>CNPC</w:t>
      </w:r>
      <w:r w:rsidRPr="00957C0A">
        <w:rPr>
          <w:rFonts w:ascii="仿宋_GB2312" w:eastAsia="仿宋_GB2312" w:hAnsi="仿宋_GB2312" w:cs="仿宋_GB2312" w:hint="eastAsia"/>
          <w:color w:val="auto"/>
          <w:sz w:val="32"/>
          <w:szCs w:val="32"/>
        </w:rPr>
        <w:t>共同管理，成立石油化工联合基金（</w:t>
      </w:r>
      <w:r w:rsidRPr="00957C0A">
        <w:rPr>
          <w:rFonts w:ascii="仿宋_GB2312" w:eastAsia="仿宋_GB2312" w:hAnsi="仿宋_GB2312" w:cs="仿宋_GB2312"/>
          <w:color w:val="auto"/>
          <w:sz w:val="32"/>
          <w:szCs w:val="32"/>
        </w:rPr>
        <w:t>A</w:t>
      </w:r>
      <w:r w:rsidRPr="00957C0A">
        <w:rPr>
          <w:rFonts w:ascii="仿宋_GB2312" w:eastAsia="仿宋_GB2312" w:hAnsi="仿宋_GB2312" w:cs="仿宋_GB2312" w:hint="eastAsia"/>
          <w:color w:val="auto"/>
          <w:sz w:val="32"/>
          <w:szCs w:val="32"/>
        </w:rPr>
        <w:t>类）管理委员会，负责整体规划和重大问题的决策，管理委员会下设由双方管理人员组成的联合基金项目管理办公室，负责联合基金资助项目实施过程的协调和日常管理。</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proofErr w:type="gramStart"/>
      <w:r w:rsidRPr="00957C0A">
        <w:rPr>
          <w:rFonts w:ascii="仿宋_GB2312" w:eastAsia="仿宋_GB2312" w:hAnsi="仿宋_GB2312" w:cs="仿宋_GB2312" w:hint="eastAsia"/>
          <w:color w:val="auto"/>
          <w:sz w:val="32"/>
          <w:szCs w:val="32"/>
        </w:rPr>
        <w:t>本联合</w:t>
      </w:r>
      <w:proofErr w:type="gramEnd"/>
      <w:r w:rsidRPr="00957C0A">
        <w:rPr>
          <w:rFonts w:ascii="仿宋_GB2312" w:eastAsia="仿宋_GB2312" w:hAnsi="仿宋_GB2312" w:cs="仿宋_GB2312" w:hint="eastAsia"/>
          <w:color w:val="auto"/>
          <w:sz w:val="32"/>
          <w:szCs w:val="32"/>
        </w:rPr>
        <w:t>基金面向全国，公平竞争，提倡学科交叉和产学研用结合，择优支持具有良好研究条件和研究实力的高等院校及科研机构，在项目指南公布的研究领域内开展研究。</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Times New Roman"/>
          <w:color w:val="auto"/>
          <w:sz w:val="32"/>
          <w:szCs w:val="32"/>
        </w:rPr>
      </w:pPr>
      <w:r w:rsidRPr="00957C0A">
        <w:rPr>
          <w:rFonts w:ascii="黑体" w:eastAsia="黑体" w:hAnsi="黑体" w:cs="黑体" w:hint="eastAsia"/>
          <w:color w:val="auto"/>
          <w:sz w:val="32"/>
          <w:szCs w:val="32"/>
        </w:rPr>
        <w:t>三、</w:t>
      </w:r>
      <w:r w:rsidRPr="00957C0A">
        <w:rPr>
          <w:rFonts w:ascii="黑体" w:eastAsia="黑体" w:hAnsi="黑体" w:cs="黑体"/>
          <w:color w:val="auto"/>
          <w:sz w:val="32"/>
          <w:szCs w:val="32"/>
        </w:rPr>
        <w:t>201</w:t>
      </w:r>
      <w:r w:rsidRPr="00957C0A">
        <w:rPr>
          <w:rFonts w:ascii="黑体" w:eastAsia="黑体" w:hAnsi="黑体" w:cs="黑体" w:hint="eastAsia"/>
          <w:color w:val="auto"/>
          <w:sz w:val="32"/>
          <w:szCs w:val="32"/>
        </w:rPr>
        <w:t>5年度拟资助领域和研究方向</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lastRenderedPageBreak/>
        <w:t>根据国内外油气资源勘探开发的趋势及研究前沿，2015年度重点支持以下三个领域的研究：</w:t>
      </w:r>
    </w:p>
    <w:p w:rsidR="00575A2E" w:rsidRPr="00957C0A" w:rsidRDefault="00575A2E" w:rsidP="00575A2E">
      <w:pPr>
        <w:pStyle w:val="a3"/>
        <w:shd w:val="clear" w:color="auto" w:fill="FFFFFF"/>
        <w:spacing w:line="540" w:lineRule="exact"/>
        <w:ind w:firstLineChars="200" w:firstLine="640"/>
        <w:rPr>
          <w:rFonts w:ascii="楷体_GB2312" w:eastAsia="楷体_GB2312" w:hAnsi="仿宋_GB2312" w:cs="仿宋_GB2312" w:hint="eastAsia"/>
          <w:color w:val="auto"/>
          <w:sz w:val="32"/>
          <w:szCs w:val="32"/>
        </w:rPr>
      </w:pPr>
      <w:r w:rsidRPr="00957C0A">
        <w:rPr>
          <w:rFonts w:ascii="楷体_GB2312" w:eastAsia="楷体_GB2312" w:hAnsi="仿宋_GB2312" w:cs="仿宋_GB2312" w:hint="eastAsia"/>
          <w:color w:val="auto"/>
          <w:sz w:val="32"/>
          <w:szCs w:val="32"/>
        </w:rPr>
        <w:t>（一）非常规油气资源勘探开发领域。</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包括致密气、致密油、页岩气、页岩油、煤层气和天然气水合物等。根据当前国内外非常规油气资源勘探开发的攻关研究现状以及我国国家级项目的立项情况，拟在以下4个方向择优予以资助，以支持非常规油气资源勘探开发重大基础问题的研究。</w:t>
      </w:r>
    </w:p>
    <w:p w:rsidR="00575A2E" w:rsidRPr="00957C0A" w:rsidRDefault="00575A2E" w:rsidP="00575A2E">
      <w:pPr>
        <w:widowControl/>
        <w:shd w:val="clear" w:color="auto" w:fill="FFFFFF"/>
        <w:spacing w:line="540" w:lineRule="exact"/>
        <w:ind w:firstLineChars="200" w:firstLine="643"/>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方向1：非常规油气储层形成机理与含油气性评价。</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科学目标：针对我国非常规油气储层孔喉结构复杂、非均质性强、物性差的特点,开展非常规油气储层致密化机理、孔喉结构分布、分布控制因素、含油气性等方面的探索研究，准确表征非常规油气储层储集空间和储集性。</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1.非常规油气储层孔喉结构多参数融合表征；</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2.致密储层成岩机制与有利储层分布；</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3.富有机质页岩孔隙体系特征及其形成和保存机理；</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color w:val="auto"/>
          <w:sz w:val="32"/>
          <w:szCs w:val="32"/>
        </w:rPr>
      </w:pPr>
      <w:r w:rsidRPr="00957C0A">
        <w:rPr>
          <w:rFonts w:ascii="仿宋_GB2312" w:eastAsia="仿宋_GB2312" w:hAnsi="仿宋_GB2312" w:cs="仿宋_GB2312" w:hint="eastAsia"/>
          <w:color w:val="auto"/>
          <w:sz w:val="32"/>
          <w:szCs w:val="32"/>
        </w:rPr>
        <w:t>4.非常规油气储层含油气性检测与评价。</w:t>
      </w:r>
    </w:p>
    <w:p w:rsidR="00575A2E" w:rsidRPr="00957C0A" w:rsidRDefault="00575A2E" w:rsidP="00575A2E">
      <w:pPr>
        <w:widowControl/>
        <w:shd w:val="clear" w:color="auto" w:fill="FFFFFF"/>
        <w:spacing w:line="540" w:lineRule="exact"/>
        <w:ind w:firstLineChars="200" w:firstLine="643"/>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方向2：非常规油气形成分布与“甜点”区优选。</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科学目标：针对我国非常规油气资源的特点,开展非常规油气资源形成条件、富集规律与“甜点”区主控因素等方面的探索研究，为确定非常规油气有利区与“甜点”区提供理论依据。</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1. 非常规油气聚集机理和富集机制与资源评价；</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lastRenderedPageBreak/>
        <w:t>2. 非常规油气岩石物理响应机理与解释方法；</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 非常规油气地球物理储层预测与流体检测；</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4.非常规油气地质和工程“甜点”</w:t>
      </w:r>
      <w:proofErr w:type="gramStart"/>
      <w:r w:rsidRPr="00957C0A">
        <w:rPr>
          <w:rFonts w:ascii="仿宋_GB2312" w:eastAsia="仿宋_GB2312" w:hAnsi="仿宋_GB2312" w:cs="仿宋_GB2312" w:hint="eastAsia"/>
          <w:color w:val="auto"/>
          <w:sz w:val="32"/>
          <w:szCs w:val="32"/>
        </w:rPr>
        <w:t>区评价</w:t>
      </w:r>
      <w:proofErr w:type="gramEnd"/>
      <w:r w:rsidRPr="00957C0A">
        <w:rPr>
          <w:rFonts w:ascii="仿宋_GB2312" w:eastAsia="仿宋_GB2312" w:hAnsi="仿宋_GB2312" w:cs="仿宋_GB2312" w:hint="eastAsia"/>
          <w:color w:val="auto"/>
          <w:sz w:val="32"/>
          <w:szCs w:val="32"/>
        </w:rPr>
        <w:t>与优选。</w:t>
      </w:r>
    </w:p>
    <w:p w:rsidR="00575A2E" w:rsidRPr="00957C0A" w:rsidRDefault="00575A2E" w:rsidP="00575A2E">
      <w:pPr>
        <w:widowControl/>
        <w:shd w:val="clear" w:color="auto" w:fill="FFFFFF"/>
        <w:spacing w:line="540" w:lineRule="exact"/>
        <w:ind w:firstLineChars="200" w:firstLine="643"/>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方向3：非常规油气流动机理与开发效益评价。</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科学目标：针对我国非常规油气资源的特点,开展不同级次孔喉流体流动规律研究、纳米级驱油剂研究与物理模拟、多尺度介质非线性渗流机理、开发动态模拟与预测等研究，为开发优化设计、投资效益优化、动态储量和产能预测等提供理论依据。</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color w:val="auto"/>
          <w:sz w:val="32"/>
          <w:szCs w:val="32"/>
        </w:rPr>
      </w:pPr>
      <w:r w:rsidRPr="00957C0A">
        <w:rPr>
          <w:rFonts w:ascii="仿宋_GB2312" w:eastAsia="仿宋_GB2312" w:hAnsi="仿宋_GB2312" w:cs="仿宋_GB2312"/>
          <w:color w:val="auto"/>
          <w:sz w:val="32"/>
          <w:szCs w:val="32"/>
        </w:rPr>
        <w:t>1</w:t>
      </w:r>
      <w:r w:rsidRPr="00957C0A">
        <w:rPr>
          <w:rFonts w:ascii="仿宋_GB2312" w:eastAsia="仿宋_GB2312" w:hAnsi="仿宋_GB2312" w:cs="仿宋_GB2312" w:hint="eastAsia"/>
          <w:color w:val="auto"/>
          <w:sz w:val="32"/>
          <w:szCs w:val="32"/>
        </w:rPr>
        <w:t>.不同尺度</w:t>
      </w:r>
      <w:proofErr w:type="gramStart"/>
      <w:r w:rsidRPr="00957C0A">
        <w:rPr>
          <w:rFonts w:ascii="仿宋_GB2312" w:eastAsia="仿宋_GB2312" w:hAnsi="仿宋_GB2312" w:cs="仿宋_GB2312" w:hint="eastAsia"/>
          <w:color w:val="auto"/>
          <w:sz w:val="32"/>
          <w:szCs w:val="32"/>
        </w:rPr>
        <w:t>下数字</w:t>
      </w:r>
      <w:proofErr w:type="gramEnd"/>
      <w:r w:rsidRPr="00957C0A">
        <w:rPr>
          <w:rFonts w:ascii="仿宋_GB2312" w:eastAsia="仿宋_GB2312" w:hAnsi="仿宋_GB2312" w:cs="仿宋_GB2312" w:hint="eastAsia"/>
          <w:color w:val="auto"/>
          <w:sz w:val="32"/>
          <w:szCs w:val="32"/>
        </w:rPr>
        <w:t>岩心储层物性参数测试与表征；</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color w:val="auto"/>
          <w:sz w:val="32"/>
          <w:szCs w:val="32"/>
        </w:rPr>
        <w:t>2</w:t>
      </w:r>
      <w:r w:rsidRPr="00957C0A">
        <w:rPr>
          <w:rFonts w:ascii="仿宋_GB2312" w:eastAsia="仿宋_GB2312" w:hAnsi="仿宋_GB2312" w:cs="仿宋_GB2312" w:hint="eastAsia"/>
          <w:color w:val="auto"/>
          <w:sz w:val="32"/>
          <w:szCs w:val="32"/>
        </w:rPr>
        <w:t>.致密油气微纳米尺度输运机理及纳米驱油剂；</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color w:val="auto"/>
          <w:sz w:val="32"/>
          <w:szCs w:val="32"/>
        </w:rPr>
        <w:t>3</w:t>
      </w:r>
      <w:r w:rsidRPr="00957C0A">
        <w:rPr>
          <w:rFonts w:ascii="仿宋_GB2312" w:eastAsia="仿宋_GB2312" w:hAnsi="仿宋_GB2312" w:cs="仿宋_GB2312" w:hint="eastAsia"/>
          <w:color w:val="auto"/>
          <w:sz w:val="32"/>
          <w:szCs w:val="32"/>
        </w:rPr>
        <w:t>.多场多尺度非线性介质耦合流动机理；</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color w:val="auto"/>
          <w:sz w:val="32"/>
          <w:szCs w:val="32"/>
        </w:rPr>
        <w:t>4</w:t>
      </w:r>
      <w:r w:rsidRPr="00957C0A">
        <w:rPr>
          <w:rFonts w:ascii="仿宋_GB2312" w:eastAsia="仿宋_GB2312" w:hAnsi="仿宋_GB2312" w:cs="仿宋_GB2312" w:hint="eastAsia"/>
          <w:color w:val="auto"/>
          <w:sz w:val="32"/>
          <w:szCs w:val="32"/>
        </w:rPr>
        <w:t>.非常规油气开发模拟及优化与产能预测。</w:t>
      </w:r>
    </w:p>
    <w:p w:rsidR="00575A2E" w:rsidRPr="00957C0A" w:rsidRDefault="00575A2E" w:rsidP="00575A2E">
      <w:pPr>
        <w:spacing w:line="540" w:lineRule="exact"/>
        <w:ind w:firstLineChars="200" w:firstLine="643"/>
        <w:rPr>
          <w:rFonts w:ascii="仿宋_GB2312" w:eastAsia="仿宋_GB2312" w:hAnsi="仿宋_GB2312" w:cs="仿宋_GB2312"/>
          <w:b/>
          <w:kern w:val="0"/>
          <w:sz w:val="32"/>
          <w:szCs w:val="32"/>
        </w:rPr>
      </w:pPr>
      <w:r w:rsidRPr="00957C0A">
        <w:rPr>
          <w:rFonts w:ascii="仿宋_GB2312" w:eastAsia="仿宋_GB2312" w:hAnsi="仿宋_GB2312" w:cs="仿宋_GB2312" w:hint="eastAsia"/>
          <w:b/>
          <w:kern w:val="0"/>
          <w:sz w:val="32"/>
          <w:szCs w:val="32"/>
        </w:rPr>
        <w:t>方向</w:t>
      </w:r>
      <w:r w:rsidRPr="00957C0A">
        <w:rPr>
          <w:rFonts w:ascii="仿宋_GB2312" w:eastAsia="仿宋_GB2312" w:hAnsi="仿宋_GB2312" w:cs="仿宋_GB2312"/>
          <w:b/>
          <w:kern w:val="0"/>
          <w:sz w:val="32"/>
          <w:szCs w:val="32"/>
        </w:rPr>
        <w:t>4</w:t>
      </w:r>
      <w:r w:rsidRPr="00957C0A">
        <w:rPr>
          <w:rFonts w:ascii="仿宋_GB2312" w:eastAsia="仿宋_GB2312" w:hAnsi="仿宋_GB2312" w:cs="仿宋_GB2312" w:hint="eastAsia"/>
          <w:b/>
          <w:kern w:val="0"/>
          <w:sz w:val="32"/>
          <w:szCs w:val="32"/>
        </w:rPr>
        <w:t>：非常规油气资源高效钻完井与增产改造基础研究。</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color w:val="auto"/>
          <w:sz w:val="32"/>
          <w:szCs w:val="32"/>
        </w:rPr>
      </w:pPr>
      <w:r w:rsidRPr="00957C0A">
        <w:rPr>
          <w:rFonts w:ascii="仿宋_GB2312" w:eastAsia="仿宋_GB2312" w:hAnsi="仿宋_GB2312" w:cs="仿宋_GB2312" w:hint="eastAsia"/>
          <w:color w:val="auto"/>
          <w:sz w:val="32"/>
          <w:szCs w:val="32"/>
        </w:rPr>
        <w:t>科学目标：围绕识别优势渗流</w:t>
      </w:r>
      <w:proofErr w:type="gramStart"/>
      <w:r w:rsidRPr="00957C0A">
        <w:rPr>
          <w:rFonts w:ascii="仿宋_GB2312" w:eastAsia="仿宋_GB2312" w:hAnsi="仿宋_GB2312" w:cs="仿宋_GB2312" w:hint="eastAsia"/>
          <w:color w:val="auto"/>
          <w:sz w:val="32"/>
          <w:szCs w:val="32"/>
        </w:rPr>
        <w:t>孔缝带空间地</w:t>
      </w:r>
      <w:proofErr w:type="gramEnd"/>
      <w:r w:rsidRPr="00957C0A">
        <w:rPr>
          <w:rFonts w:ascii="仿宋_GB2312" w:eastAsia="仿宋_GB2312" w:hAnsi="仿宋_GB2312" w:cs="仿宋_GB2312" w:hint="eastAsia"/>
          <w:color w:val="auto"/>
          <w:sz w:val="32"/>
          <w:szCs w:val="32"/>
        </w:rPr>
        <w:t>质体、以优势渗流</w:t>
      </w:r>
      <w:proofErr w:type="gramStart"/>
      <w:r w:rsidRPr="00957C0A">
        <w:rPr>
          <w:rFonts w:ascii="仿宋_GB2312" w:eastAsia="仿宋_GB2312" w:hAnsi="仿宋_GB2312" w:cs="仿宋_GB2312" w:hint="eastAsia"/>
          <w:color w:val="auto"/>
          <w:sz w:val="32"/>
          <w:szCs w:val="32"/>
        </w:rPr>
        <w:t>孔缝带空间地</w:t>
      </w:r>
      <w:proofErr w:type="gramEnd"/>
      <w:r w:rsidRPr="00957C0A">
        <w:rPr>
          <w:rFonts w:ascii="仿宋_GB2312" w:eastAsia="仿宋_GB2312" w:hAnsi="仿宋_GB2312" w:cs="仿宋_GB2312" w:hint="eastAsia"/>
          <w:color w:val="auto"/>
          <w:sz w:val="32"/>
          <w:szCs w:val="32"/>
        </w:rPr>
        <w:t>质体为约束和有助于体积压裂改造为目的的特殊轨迹井建井、完井及其过程中的储层</w:t>
      </w:r>
      <w:proofErr w:type="gramStart"/>
      <w:r w:rsidRPr="00957C0A">
        <w:rPr>
          <w:rFonts w:ascii="仿宋_GB2312" w:eastAsia="仿宋_GB2312" w:hAnsi="仿宋_GB2312" w:cs="仿宋_GB2312" w:hint="eastAsia"/>
          <w:color w:val="auto"/>
          <w:sz w:val="32"/>
          <w:szCs w:val="32"/>
        </w:rPr>
        <w:t>保护与随钻</w:t>
      </w:r>
      <w:proofErr w:type="gramEnd"/>
      <w:r w:rsidRPr="00957C0A">
        <w:rPr>
          <w:rFonts w:ascii="仿宋_GB2312" w:eastAsia="仿宋_GB2312" w:hAnsi="仿宋_GB2312" w:cs="仿宋_GB2312" w:hint="eastAsia"/>
          <w:color w:val="auto"/>
          <w:sz w:val="32"/>
          <w:szCs w:val="32"/>
        </w:rPr>
        <w:t>储层评价等关键环节中的基础科学问题开展研究，建立水平井复杂裂缝产生、扩展与优化理论，探索储层对压裂过程的物理化学响应</w:t>
      </w:r>
      <w:r w:rsidRPr="00957C0A">
        <w:rPr>
          <w:rFonts w:ascii="仿宋_GB2312" w:eastAsia="仿宋_GB2312" w:hAnsi="仿宋_GB2312" w:cs="仿宋_GB2312"/>
          <w:color w:val="auto"/>
          <w:sz w:val="32"/>
          <w:szCs w:val="32"/>
        </w:rPr>
        <w:t>,</w:t>
      </w:r>
      <w:r w:rsidRPr="00957C0A">
        <w:rPr>
          <w:rFonts w:ascii="仿宋_GB2312" w:eastAsia="仿宋_GB2312" w:hAnsi="仿宋_GB2312" w:cs="仿宋_GB2312" w:hint="eastAsia"/>
          <w:color w:val="auto"/>
          <w:sz w:val="32"/>
          <w:szCs w:val="32"/>
        </w:rPr>
        <w:t>为致密油气藏高效体积压裂提供理论支撑。</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color w:val="auto"/>
          <w:sz w:val="32"/>
          <w:szCs w:val="32"/>
        </w:rPr>
      </w:pPr>
      <w:r w:rsidRPr="00957C0A">
        <w:rPr>
          <w:rFonts w:ascii="仿宋_GB2312" w:eastAsia="仿宋_GB2312" w:hAnsi="仿宋_GB2312" w:cs="仿宋_GB2312"/>
          <w:color w:val="auto"/>
          <w:sz w:val="32"/>
          <w:szCs w:val="32"/>
        </w:rPr>
        <w:lastRenderedPageBreak/>
        <w:t>1</w:t>
      </w:r>
      <w:r w:rsidRPr="00957C0A">
        <w:rPr>
          <w:rFonts w:ascii="仿宋_GB2312" w:eastAsia="仿宋_GB2312" w:hAnsi="仿宋_GB2312" w:cs="仿宋_GB2312" w:hint="eastAsia"/>
          <w:color w:val="auto"/>
          <w:sz w:val="32"/>
          <w:szCs w:val="32"/>
        </w:rPr>
        <w:t>.非常规油气储层保护与提高产能和最终采收率的原理与方法；</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color w:val="auto"/>
          <w:sz w:val="32"/>
          <w:szCs w:val="32"/>
        </w:rPr>
      </w:pPr>
      <w:r w:rsidRPr="00957C0A">
        <w:rPr>
          <w:rFonts w:ascii="仿宋_GB2312" w:eastAsia="仿宋_GB2312" w:hAnsi="仿宋_GB2312" w:cs="仿宋_GB2312" w:hint="eastAsia"/>
          <w:color w:val="auto"/>
          <w:sz w:val="32"/>
          <w:szCs w:val="32"/>
        </w:rPr>
        <w:t>2.非常规油气经济有效获得最大产能的钻完井原理与方法；</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3.非常规油气岩石力学特性与井筒轨迹和储层改造优化设计；</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color w:val="auto"/>
          <w:sz w:val="32"/>
          <w:szCs w:val="32"/>
        </w:rPr>
      </w:pPr>
      <w:r w:rsidRPr="00957C0A">
        <w:rPr>
          <w:rFonts w:ascii="仿宋_GB2312" w:eastAsia="仿宋_GB2312" w:hAnsi="仿宋_GB2312" w:cs="仿宋_GB2312" w:hint="eastAsia"/>
          <w:color w:val="auto"/>
          <w:sz w:val="32"/>
          <w:szCs w:val="32"/>
        </w:rPr>
        <w:t>4.非常规油气体积压裂诱导应力控制机制</w:t>
      </w:r>
      <w:proofErr w:type="gramStart"/>
      <w:r w:rsidRPr="00957C0A">
        <w:rPr>
          <w:rFonts w:ascii="仿宋_GB2312" w:eastAsia="仿宋_GB2312" w:hAnsi="仿宋_GB2312" w:cs="仿宋_GB2312" w:hint="eastAsia"/>
          <w:color w:val="auto"/>
          <w:sz w:val="32"/>
          <w:szCs w:val="32"/>
        </w:rPr>
        <w:t>和缝网扩展</w:t>
      </w:r>
      <w:proofErr w:type="gramEnd"/>
      <w:r w:rsidRPr="00957C0A">
        <w:rPr>
          <w:rFonts w:ascii="仿宋_GB2312" w:eastAsia="仿宋_GB2312" w:hAnsi="仿宋_GB2312" w:cs="仿宋_GB2312" w:hint="eastAsia"/>
          <w:color w:val="auto"/>
          <w:sz w:val="32"/>
          <w:szCs w:val="32"/>
        </w:rPr>
        <w:t>描述。</w:t>
      </w:r>
    </w:p>
    <w:p w:rsidR="00575A2E" w:rsidRPr="00957C0A" w:rsidRDefault="00575A2E" w:rsidP="00575A2E">
      <w:pPr>
        <w:widowControl/>
        <w:shd w:val="clear" w:color="auto" w:fill="FFFFFF"/>
        <w:spacing w:line="540" w:lineRule="exact"/>
        <w:ind w:firstLine="550"/>
        <w:jc w:val="left"/>
        <w:rPr>
          <w:rFonts w:ascii="楷体_GB2312" w:eastAsia="楷体_GB2312" w:hAnsi="仿宋_GB2312" w:cs="仿宋_GB2312" w:hint="eastAsia"/>
          <w:kern w:val="0"/>
          <w:sz w:val="32"/>
          <w:szCs w:val="32"/>
        </w:rPr>
      </w:pPr>
      <w:r w:rsidRPr="00957C0A">
        <w:rPr>
          <w:rFonts w:ascii="楷体_GB2312" w:eastAsia="楷体_GB2312" w:hAnsi="仿宋_GB2312" w:cs="仿宋_GB2312" w:hint="eastAsia"/>
          <w:kern w:val="0"/>
          <w:sz w:val="32"/>
          <w:szCs w:val="32"/>
        </w:rPr>
        <w:t>（二）深层油气资源勘探开发领域。</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我国深层油气资源勘探开发面临高温、高压、高应力以及复杂地质环境下勘探、开发理论不足与工程技术欠缺的挑战，根据当前国内外深层油气资源勘探开发与技术现状，拟在深层油气资源勘探开发领域的以下3个方向择优予以资助，以支持深层油气资源勘探开发重大基础问题的研究。</w:t>
      </w:r>
    </w:p>
    <w:p w:rsidR="00575A2E" w:rsidRPr="00957C0A" w:rsidRDefault="00575A2E" w:rsidP="00575A2E">
      <w:pPr>
        <w:widowControl/>
        <w:shd w:val="clear" w:color="auto" w:fill="FFFFFF"/>
        <w:spacing w:line="540" w:lineRule="exact"/>
        <w:ind w:firstLine="550"/>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方向1：深层油气资源勘探基础理论与关键技术</w:t>
      </w:r>
      <w:r>
        <w:rPr>
          <w:rFonts w:ascii="仿宋_GB2312" w:eastAsia="仿宋_GB2312" w:hAnsi="仿宋_GB2312" w:cs="仿宋_GB2312" w:hint="eastAsia"/>
          <w:b/>
          <w:kern w:val="0"/>
          <w:sz w:val="32"/>
          <w:szCs w:val="32"/>
        </w:rPr>
        <w:t>。</w:t>
      </w:r>
    </w:p>
    <w:p w:rsidR="00575A2E" w:rsidRPr="00957C0A" w:rsidRDefault="00575A2E" w:rsidP="00575A2E">
      <w:pPr>
        <w:widowControl/>
        <w:shd w:val="clear" w:color="auto" w:fill="FFFFFF"/>
        <w:spacing w:line="540" w:lineRule="exact"/>
        <w:ind w:firstLine="550"/>
        <w:jc w:val="left"/>
        <w:rPr>
          <w:rFonts w:ascii="仿宋_GB2312" w:eastAsia="仿宋_GB2312" w:hAnsi="仿宋_GB2312" w:cs="仿宋_GB2312" w:hint="eastAsia"/>
          <w:kern w:val="0"/>
          <w:sz w:val="32"/>
          <w:szCs w:val="32"/>
        </w:rPr>
      </w:pPr>
      <w:r w:rsidRPr="00957C0A">
        <w:rPr>
          <w:rFonts w:ascii="仿宋_GB2312" w:eastAsia="仿宋_GB2312" w:hAnsi="仿宋_GB2312" w:cs="仿宋_GB2312" w:hint="eastAsia"/>
          <w:kern w:val="0"/>
          <w:sz w:val="32"/>
          <w:szCs w:val="32"/>
        </w:rPr>
        <w:t>科学目标:针对我国包括海相碳酸盐岩在内的深层油气资源的特点，开展油气储层及油气藏的形成机理、分布规律、表征与预测方法等研究，为深层油气资源的评价、勘探及开发提供理论依据。</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1. 深埋优质储层形成、保持及演化；</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2. 深层油气藏盖层和断层封闭性动态演化过程定量评价；</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 深层油气岩石物理响应机理与分析方法；</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lastRenderedPageBreak/>
        <w:t>4. 深层油气地震成像与储层流</w:t>
      </w:r>
      <w:proofErr w:type="gramStart"/>
      <w:r w:rsidRPr="00957C0A">
        <w:rPr>
          <w:rFonts w:ascii="仿宋_GB2312" w:eastAsia="仿宋_GB2312" w:hAnsi="仿宋_GB2312" w:cs="仿宋_GB2312" w:hint="eastAsia"/>
          <w:color w:val="auto"/>
          <w:sz w:val="32"/>
          <w:szCs w:val="32"/>
        </w:rPr>
        <w:t>体预测</w:t>
      </w:r>
      <w:proofErr w:type="gramEnd"/>
      <w:r w:rsidRPr="00957C0A">
        <w:rPr>
          <w:rFonts w:ascii="仿宋_GB2312" w:eastAsia="仿宋_GB2312" w:hAnsi="仿宋_GB2312" w:cs="仿宋_GB2312" w:hint="eastAsia"/>
          <w:color w:val="auto"/>
          <w:sz w:val="32"/>
          <w:szCs w:val="32"/>
        </w:rPr>
        <w:t>理论与方法。</w:t>
      </w:r>
    </w:p>
    <w:p w:rsidR="00575A2E" w:rsidRPr="00957C0A" w:rsidRDefault="00575A2E" w:rsidP="00575A2E">
      <w:pPr>
        <w:widowControl/>
        <w:shd w:val="clear" w:color="auto" w:fill="FFFFFF"/>
        <w:spacing w:line="540" w:lineRule="exact"/>
        <w:ind w:firstLine="550"/>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方向2：深层油气资源开发基础理论</w:t>
      </w:r>
      <w:r>
        <w:rPr>
          <w:rFonts w:ascii="仿宋_GB2312" w:eastAsia="仿宋_GB2312" w:hAnsi="仿宋_GB2312" w:cs="仿宋_GB2312" w:hint="eastAsia"/>
          <w:b/>
          <w:kern w:val="0"/>
          <w:sz w:val="32"/>
          <w:szCs w:val="32"/>
        </w:rPr>
        <w:t>。</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科学目标:根据深层油气资源开发面临的深井、高温、高压、高应力特征，研究深层油气资源开发面临的岩石力学、井筒复杂多相流动及地层渗流规律等基础问题，为深层油气资源开发奠定理论基础。</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1.高温、高压、高应力下岩石力学特征及在复杂开发环境下的响应机制；</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2.深井井筒流体高温流变特性、相态变化及井筒-地层复杂多相耦合流动规律；</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3.深层高温、高压、高应力下油气</w:t>
      </w:r>
      <w:proofErr w:type="gramStart"/>
      <w:r w:rsidRPr="00957C0A">
        <w:rPr>
          <w:rFonts w:ascii="仿宋_GB2312" w:eastAsia="仿宋_GB2312" w:hAnsi="仿宋_GB2312" w:cs="仿宋_GB2312" w:hint="eastAsia"/>
          <w:color w:val="auto"/>
          <w:sz w:val="32"/>
          <w:szCs w:val="32"/>
        </w:rPr>
        <w:t>层跨尺度流固</w:t>
      </w:r>
      <w:proofErr w:type="gramEnd"/>
      <w:r w:rsidRPr="00957C0A">
        <w:rPr>
          <w:rFonts w:ascii="仿宋_GB2312" w:eastAsia="仿宋_GB2312" w:hAnsi="仿宋_GB2312" w:cs="仿宋_GB2312" w:hint="eastAsia"/>
          <w:color w:val="auto"/>
          <w:sz w:val="32"/>
          <w:szCs w:val="32"/>
        </w:rPr>
        <w:t>耦合非线性渗流机理及表征。</w:t>
      </w:r>
    </w:p>
    <w:p w:rsidR="00575A2E" w:rsidRPr="00957C0A" w:rsidRDefault="00575A2E" w:rsidP="00575A2E">
      <w:pPr>
        <w:widowControl/>
        <w:shd w:val="clear" w:color="auto" w:fill="FFFFFF"/>
        <w:spacing w:line="540" w:lineRule="exact"/>
        <w:ind w:firstLine="550"/>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方向3：深层油气资源开发安全高效工程技术基础理论。</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科学目标:针对深层油气资源开发中面临的钻井、完井、测试、增产等工程技术难点问题，开展深井管柱力学、工作液、井筒完整性、井筒压力控制、储层改造等方面的基础理论研究，为深层油气资源的安全高效开发做好工程技术储备。</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1.超深井管柱动力学表征、井筒完整性控制及高效破岩新方法；</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2.高温、高压、高矿化度对工作液性能的影响及新型工作液作用原理；</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lastRenderedPageBreak/>
        <w:t>3.高温、高压、深层致密储层高效改造基础理论；</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4.高温、高压、复杂多相流井筒压力演变规律与控制方法。</w:t>
      </w:r>
    </w:p>
    <w:p w:rsidR="00575A2E" w:rsidRPr="00957C0A" w:rsidRDefault="00575A2E" w:rsidP="00575A2E">
      <w:pPr>
        <w:widowControl/>
        <w:shd w:val="clear" w:color="auto" w:fill="FFFFFF"/>
        <w:spacing w:line="540" w:lineRule="exact"/>
        <w:ind w:firstLine="550"/>
        <w:jc w:val="left"/>
        <w:rPr>
          <w:rFonts w:ascii="楷体_GB2312" w:eastAsia="楷体_GB2312" w:hAnsi="仿宋_GB2312" w:cs="仿宋_GB2312" w:hint="eastAsia"/>
          <w:kern w:val="0"/>
          <w:sz w:val="32"/>
          <w:szCs w:val="32"/>
        </w:rPr>
      </w:pPr>
      <w:r w:rsidRPr="00957C0A">
        <w:rPr>
          <w:rFonts w:ascii="楷体_GB2312" w:eastAsia="楷体_GB2312" w:hAnsi="仿宋_GB2312" w:cs="仿宋_GB2312" w:hint="eastAsia"/>
          <w:kern w:val="0"/>
          <w:sz w:val="32"/>
          <w:szCs w:val="32"/>
        </w:rPr>
        <w:t>（三）超低渗透油气藏提高采收率领域。</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超低渗透油气藏由于渗透率很低，非均质性很强而开采难度大，采收率极低，且不同的超低渗透油气藏差异很大。基质-</w:t>
      </w:r>
      <w:proofErr w:type="gramStart"/>
      <w:r w:rsidRPr="00957C0A">
        <w:rPr>
          <w:rFonts w:ascii="仿宋_GB2312" w:eastAsia="仿宋_GB2312" w:hAnsi="仿宋_GB2312" w:cs="仿宋_GB2312" w:hint="eastAsia"/>
          <w:color w:val="auto"/>
          <w:sz w:val="32"/>
          <w:szCs w:val="32"/>
        </w:rPr>
        <w:t>缝网系统</w:t>
      </w:r>
      <w:proofErr w:type="gramEnd"/>
      <w:r w:rsidRPr="00957C0A">
        <w:rPr>
          <w:rFonts w:ascii="仿宋_GB2312" w:eastAsia="仿宋_GB2312" w:hAnsi="仿宋_GB2312" w:cs="仿宋_GB2312" w:hint="eastAsia"/>
          <w:color w:val="auto"/>
          <w:sz w:val="32"/>
          <w:szCs w:val="32"/>
        </w:rPr>
        <w:t>跨尺度均衡驱油、复杂井型渗流规律与表征、注入介质与微观尺度</w:t>
      </w:r>
      <w:proofErr w:type="gramStart"/>
      <w:r w:rsidRPr="00957C0A">
        <w:rPr>
          <w:rFonts w:ascii="仿宋_GB2312" w:eastAsia="仿宋_GB2312" w:hAnsi="仿宋_GB2312" w:cs="仿宋_GB2312" w:hint="eastAsia"/>
          <w:color w:val="auto"/>
          <w:sz w:val="32"/>
          <w:szCs w:val="32"/>
        </w:rPr>
        <w:t>孔隙结构及岩性</w:t>
      </w:r>
      <w:proofErr w:type="gramEnd"/>
      <w:r w:rsidRPr="00957C0A">
        <w:rPr>
          <w:rFonts w:ascii="仿宋_GB2312" w:eastAsia="仿宋_GB2312" w:hAnsi="仿宋_GB2312" w:cs="仿宋_GB2312" w:hint="eastAsia"/>
          <w:color w:val="auto"/>
          <w:sz w:val="32"/>
          <w:szCs w:val="32"/>
        </w:rPr>
        <w:t>和</w:t>
      </w:r>
      <w:proofErr w:type="gramStart"/>
      <w:r w:rsidRPr="00957C0A">
        <w:rPr>
          <w:rFonts w:ascii="仿宋_GB2312" w:eastAsia="仿宋_GB2312" w:hAnsi="仿宋_GB2312" w:cs="仿宋_GB2312" w:hint="eastAsia"/>
          <w:color w:val="auto"/>
          <w:sz w:val="32"/>
          <w:szCs w:val="32"/>
        </w:rPr>
        <w:t>储层流</w:t>
      </w:r>
      <w:proofErr w:type="gramEnd"/>
      <w:r w:rsidRPr="00957C0A">
        <w:rPr>
          <w:rFonts w:ascii="仿宋_GB2312" w:eastAsia="仿宋_GB2312" w:hAnsi="仿宋_GB2312" w:cs="仿宋_GB2312" w:hint="eastAsia"/>
          <w:color w:val="auto"/>
          <w:sz w:val="32"/>
          <w:szCs w:val="32"/>
        </w:rPr>
        <w:t>体的相互作用，是超低</w:t>
      </w:r>
      <w:r>
        <w:rPr>
          <w:rFonts w:ascii="仿宋_GB2312" w:eastAsia="仿宋_GB2312" w:hAnsi="仿宋_GB2312" w:cs="仿宋_GB2312" w:hint="eastAsia"/>
          <w:color w:val="auto"/>
          <w:sz w:val="32"/>
          <w:szCs w:val="32"/>
        </w:rPr>
        <w:t>渗</w:t>
      </w:r>
      <w:r w:rsidRPr="00957C0A">
        <w:rPr>
          <w:rFonts w:ascii="仿宋_GB2312" w:eastAsia="仿宋_GB2312" w:hAnsi="仿宋_GB2312" w:cs="仿宋_GB2312" w:hint="eastAsia"/>
          <w:color w:val="auto"/>
          <w:sz w:val="32"/>
          <w:szCs w:val="32"/>
        </w:rPr>
        <w:t>透油气藏提高采收率面临的重大基础问题。根据目前国内超低渗透油气藏开发与技术现状，拟在以下3个方向择优给予重点资助，以支持超低渗透油气藏提高采收率领域中重大基础问题的研究。</w:t>
      </w:r>
    </w:p>
    <w:p w:rsidR="00575A2E" w:rsidRPr="00957C0A" w:rsidRDefault="00575A2E" w:rsidP="00575A2E">
      <w:pPr>
        <w:widowControl/>
        <w:shd w:val="clear" w:color="auto" w:fill="FFFFFF"/>
        <w:spacing w:line="540" w:lineRule="exact"/>
        <w:ind w:firstLine="550"/>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方向1：超低渗透油气藏流体的赋存状态与分布。</w:t>
      </w:r>
    </w:p>
    <w:p w:rsidR="00575A2E" w:rsidRPr="00957C0A" w:rsidRDefault="00575A2E" w:rsidP="00575A2E">
      <w:pPr>
        <w:widowControl/>
        <w:shd w:val="clear" w:color="auto" w:fill="FFFFFF"/>
        <w:spacing w:line="540" w:lineRule="exact"/>
        <w:ind w:firstLine="550"/>
        <w:jc w:val="left"/>
        <w:rPr>
          <w:rFonts w:ascii="仿宋_GB2312" w:eastAsia="仿宋_GB2312" w:hAnsi="仿宋_GB2312" w:cs="仿宋_GB2312" w:hint="eastAsia"/>
          <w:kern w:val="0"/>
          <w:sz w:val="32"/>
          <w:szCs w:val="32"/>
        </w:rPr>
      </w:pPr>
      <w:r w:rsidRPr="00957C0A">
        <w:rPr>
          <w:rFonts w:ascii="仿宋_GB2312" w:eastAsia="仿宋_GB2312" w:hAnsi="仿宋_GB2312" w:cs="仿宋_GB2312" w:hint="eastAsia"/>
          <w:kern w:val="0"/>
          <w:sz w:val="32"/>
          <w:szCs w:val="32"/>
        </w:rPr>
        <w:t>科学目标：针对超低渗透油气藏复杂储层特征和复杂渗流现象及采收率极低的特点，研究超低渗透储层孔隙结构、储层非均质性对储层油气水的赋存状态和分布特征的影响，探索储层流体与岩石介质之间的相互作用及对储层流体赋存状态的影响，为描述及表征超低渗透油气藏流体的分布规律提供理论依据。</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1.高温高压油气水赋存状态测试新方法；</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2.孔隙结构、岩石和流体相互作用与油气水的赋存状态；</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3.多孔介质非均质性与油气水赋存状态及分布特征；</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4.超低渗透油气藏流体的分布规律与表征。</w:t>
      </w:r>
    </w:p>
    <w:p w:rsidR="00575A2E" w:rsidRPr="00957C0A" w:rsidRDefault="00575A2E" w:rsidP="00575A2E">
      <w:pPr>
        <w:widowControl/>
        <w:shd w:val="clear" w:color="auto" w:fill="FFFFFF"/>
        <w:spacing w:line="540" w:lineRule="exact"/>
        <w:ind w:firstLine="550"/>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lastRenderedPageBreak/>
        <w:t>方向2：超低渗透油气藏流体的渗流规律及表征方法</w:t>
      </w:r>
      <w:r>
        <w:rPr>
          <w:rFonts w:ascii="仿宋_GB2312" w:eastAsia="仿宋_GB2312" w:hAnsi="仿宋_GB2312" w:cs="仿宋_GB2312" w:hint="eastAsia"/>
          <w:b/>
          <w:kern w:val="0"/>
          <w:sz w:val="32"/>
          <w:szCs w:val="32"/>
        </w:rPr>
        <w:t>。</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科学目标：以现有渗流理论为基础，从超低渗透油气藏多孔介质特征、微尺度流动效应、传质扩散和边界层理论出发，探索微观尺度下注入气或化学剂在超低渗透油藏中的渗流特性以及矿物成分对微观渗流的作用机制；揭示超低渗透油气藏不同井型条件的多相流体渗流规律及流线分布；建立基质-</w:t>
      </w:r>
      <w:proofErr w:type="gramStart"/>
      <w:r w:rsidRPr="00957C0A">
        <w:rPr>
          <w:rFonts w:ascii="仿宋_GB2312" w:eastAsia="仿宋_GB2312" w:hAnsi="仿宋_GB2312" w:cs="仿宋_GB2312" w:hint="eastAsia"/>
          <w:color w:val="auto"/>
          <w:sz w:val="32"/>
          <w:szCs w:val="32"/>
        </w:rPr>
        <w:t>缝网系统</w:t>
      </w:r>
      <w:proofErr w:type="gramEnd"/>
      <w:r w:rsidRPr="00957C0A">
        <w:rPr>
          <w:rFonts w:ascii="仿宋_GB2312" w:eastAsia="仿宋_GB2312" w:hAnsi="仿宋_GB2312" w:cs="仿宋_GB2312" w:hint="eastAsia"/>
          <w:color w:val="auto"/>
          <w:sz w:val="32"/>
          <w:szCs w:val="32"/>
        </w:rPr>
        <w:t>中多场耦合多尺度非线性渗流理论，为发展超低渗透油藏开发</w:t>
      </w:r>
      <w:r>
        <w:rPr>
          <w:rFonts w:ascii="仿宋_GB2312" w:eastAsia="仿宋_GB2312" w:hAnsi="仿宋_GB2312" w:cs="仿宋_GB2312" w:hint="eastAsia"/>
          <w:color w:val="auto"/>
          <w:sz w:val="32"/>
          <w:szCs w:val="32"/>
        </w:rPr>
        <w:t>、</w:t>
      </w:r>
      <w:r w:rsidRPr="00957C0A">
        <w:rPr>
          <w:rFonts w:ascii="仿宋_GB2312" w:eastAsia="仿宋_GB2312" w:hAnsi="仿宋_GB2312" w:cs="仿宋_GB2312" w:hint="eastAsia"/>
          <w:color w:val="auto"/>
          <w:sz w:val="32"/>
          <w:szCs w:val="32"/>
        </w:rPr>
        <w:t>油藏工程理论和建立超低渗透油气藏</w:t>
      </w:r>
      <w:r>
        <w:rPr>
          <w:rFonts w:ascii="仿宋_GB2312" w:eastAsia="仿宋_GB2312" w:hAnsi="仿宋_GB2312" w:cs="仿宋_GB2312" w:hint="eastAsia"/>
          <w:color w:val="auto"/>
          <w:sz w:val="32"/>
          <w:szCs w:val="32"/>
        </w:rPr>
        <w:t>有</w:t>
      </w:r>
      <w:r w:rsidRPr="00957C0A">
        <w:rPr>
          <w:rFonts w:ascii="仿宋_GB2312" w:eastAsia="仿宋_GB2312" w:hAnsi="仿宋_GB2312" w:cs="仿宋_GB2312" w:hint="eastAsia"/>
          <w:color w:val="auto"/>
          <w:sz w:val="32"/>
          <w:szCs w:val="32"/>
        </w:rPr>
        <w:t>效提高采收率方法奠定渗流理论基础。</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1.微观尺度多相流体的渗流规律；</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2.不同井型流体的渗流规律与流线分布；</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3.基质-</w:t>
      </w:r>
      <w:proofErr w:type="gramStart"/>
      <w:r w:rsidRPr="00957C0A">
        <w:rPr>
          <w:rFonts w:ascii="仿宋_GB2312" w:eastAsia="仿宋_GB2312" w:hAnsi="仿宋_GB2312" w:cs="仿宋_GB2312" w:hint="eastAsia"/>
          <w:color w:val="auto"/>
          <w:sz w:val="32"/>
          <w:szCs w:val="32"/>
        </w:rPr>
        <w:t>缝网系统</w:t>
      </w:r>
      <w:proofErr w:type="gramEnd"/>
      <w:r w:rsidRPr="00957C0A">
        <w:rPr>
          <w:rFonts w:ascii="仿宋_GB2312" w:eastAsia="仿宋_GB2312" w:hAnsi="仿宋_GB2312" w:cs="仿宋_GB2312" w:hint="eastAsia"/>
          <w:color w:val="auto"/>
          <w:sz w:val="32"/>
          <w:szCs w:val="32"/>
        </w:rPr>
        <w:t>中流体跨尺度耦合流动特征；</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4.微观尺度气驱的吸附、解吸、扩散、运移与传质机理；</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5.注入流体介质与地层流体和岩石的相互作用对流体运移的影响。</w:t>
      </w:r>
    </w:p>
    <w:p w:rsidR="00575A2E" w:rsidRPr="00957C0A" w:rsidRDefault="00575A2E" w:rsidP="00575A2E">
      <w:pPr>
        <w:widowControl/>
        <w:shd w:val="clear" w:color="auto" w:fill="FFFFFF"/>
        <w:spacing w:line="540" w:lineRule="exact"/>
        <w:ind w:firstLine="550"/>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方向3：超低渗透油藏对驱油剂提高采收率方式的适应性、可行性与作用机理。</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科学目标:探索不同的超低渗透油气藏对于某种驱油剂（空气驱、氮气驱、CO</w:t>
      </w:r>
      <w:r w:rsidRPr="00957C0A">
        <w:rPr>
          <w:rFonts w:ascii="仿宋_GB2312" w:eastAsia="仿宋_GB2312" w:hAnsi="仿宋_GB2312" w:cs="仿宋_GB2312" w:hint="eastAsia"/>
          <w:color w:val="auto"/>
          <w:sz w:val="32"/>
          <w:szCs w:val="32"/>
          <w:vertAlign w:val="subscript"/>
        </w:rPr>
        <w:t>2</w:t>
      </w:r>
      <w:r w:rsidRPr="00957C0A">
        <w:rPr>
          <w:rFonts w:ascii="仿宋_GB2312" w:eastAsia="仿宋_GB2312" w:hAnsi="仿宋_GB2312" w:cs="仿宋_GB2312" w:hint="eastAsia"/>
          <w:color w:val="auto"/>
          <w:sz w:val="32"/>
          <w:szCs w:val="32"/>
        </w:rPr>
        <w:t>驱，化学驱…）提高采收率方式的适用性、可行性及其作用机理，为超低渗透油藏选取适当的提高采收率的方式和技术提供必要的理论基础和实验依据。</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lastRenderedPageBreak/>
        <w:t>1.</w:t>
      </w:r>
      <w:proofErr w:type="gramStart"/>
      <w:r w:rsidRPr="00957C0A">
        <w:rPr>
          <w:rFonts w:ascii="仿宋_GB2312" w:eastAsia="仿宋_GB2312" w:hAnsi="仿宋_GB2312" w:cs="仿宋_GB2312" w:hint="eastAsia"/>
          <w:color w:val="auto"/>
          <w:sz w:val="32"/>
          <w:szCs w:val="32"/>
        </w:rPr>
        <w:t>空气驱提高超</w:t>
      </w:r>
      <w:proofErr w:type="gramEnd"/>
      <w:r w:rsidRPr="00957C0A">
        <w:rPr>
          <w:rFonts w:ascii="仿宋_GB2312" w:eastAsia="仿宋_GB2312" w:hAnsi="仿宋_GB2312" w:cs="仿宋_GB2312" w:hint="eastAsia"/>
          <w:color w:val="auto"/>
          <w:sz w:val="32"/>
          <w:szCs w:val="32"/>
        </w:rPr>
        <w:t>低渗透油藏采收率的可行性、作用机理与规律；</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2.CO</w:t>
      </w:r>
      <w:r w:rsidRPr="00957C0A">
        <w:rPr>
          <w:rFonts w:ascii="仿宋_GB2312" w:eastAsia="仿宋_GB2312" w:hAnsi="仿宋_GB2312" w:cs="仿宋_GB2312" w:hint="eastAsia"/>
          <w:color w:val="auto"/>
          <w:sz w:val="32"/>
          <w:szCs w:val="32"/>
          <w:vertAlign w:val="subscript"/>
        </w:rPr>
        <w:t>2</w:t>
      </w:r>
      <w:proofErr w:type="gramStart"/>
      <w:r w:rsidRPr="00957C0A">
        <w:rPr>
          <w:rFonts w:ascii="仿宋_GB2312" w:eastAsia="仿宋_GB2312" w:hAnsi="仿宋_GB2312" w:cs="仿宋_GB2312" w:hint="eastAsia"/>
          <w:color w:val="auto"/>
          <w:sz w:val="32"/>
          <w:szCs w:val="32"/>
        </w:rPr>
        <w:t>驱提高超</w:t>
      </w:r>
      <w:proofErr w:type="gramEnd"/>
      <w:r w:rsidRPr="00957C0A">
        <w:rPr>
          <w:rFonts w:ascii="仿宋_GB2312" w:eastAsia="仿宋_GB2312" w:hAnsi="仿宋_GB2312" w:cs="仿宋_GB2312" w:hint="eastAsia"/>
          <w:color w:val="auto"/>
          <w:sz w:val="32"/>
          <w:szCs w:val="32"/>
        </w:rPr>
        <w:t>低渗透油藏采收率的可行性、作用机理与规律；</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3.化学驱（</w:t>
      </w:r>
      <w:proofErr w:type="gramStart"/>
      <w:r w:rsidRPr="00957C0A">
        <w:rPr>
          <w:rFonts w:ascii="仿宋_GB2312" w:eastAsia="仿宋_GB2312" w:hAnsi="仿宋_GB2312" w:cs="仿宋_GB2312" w:hint="eastAsia"/>
          <w:color w:val="auto"/>
          <w:sz w:val="32"/>
          <w:szCs w:val="32"/>
        </w:rPr>
        <w:t>表活剂</w:t>
      </w:r>
      <w:proofErr w:type="gramEnd"/>
      <w:r w:rsidRPr="00957C0A">
        <w:rPr>
          <w:rFonts w:ascii="仿宋_GB2312" w:eastAsia="仿宋_GB2312" w:hAnsi="仿宋_GB2312" w:cs="仿宋_GB2312" w:hint="eastAsia"/>
          <w:color w:val="auto"/>
          <w:sz w:val="32"/>
          <w:szCs w:val="32"/>
        </w:rPr>
        <w:t>驱、聚合物驱、复合驱…）提高超低渗透油藏采收率的可行性、作用机理与规律。</w:t>
      </w:r>
    </w:p>
    <w:p w:rsidR="00575A2E" w:rsidRPr="00957C0A" w:rsidRDefault="00575A2E" w:rsidP="00575A2E">
      <w:pPr>
        <w:widowControl/>
        <w:shd w:val="clear" w:color="auto" w:fill="FFFFFF"/>
        <w:spacing w:line="540" w:lineRule="exact"/>
        <w:ind w:firstLineChars="196" w:firstLine="630"/>
        <w:jc w:val="left"/>
        <w:rPr>
          <w:rFonts w:ascii="仿宋_GB2312" w:eastAsia="仿宋_GB2312" w:hAnsi="仿宋_GB2312" w:cs="仿宋_GB2312" w:hint="eastAsia"/>
          <w:b/>
          <w:kern w:val="0"/>
          <w:sz w:val="32"/>
          <w:szCs w:val="32"/>
        </w:rPr>
      </w:pPr>
      <w:r w:rsidRPr="00957C0A">
        <w:rPr>
          <w:rFonts w:ascii="仿宋_GB2312" w:eastAsia="仿宋_GB2312" w:hAnsi="仿宋_GB2312" w:cs="仿宋_GB2312" w:hint="eastAsia"/>
          <w:b/>
          <w:kern w:val="0"/>
          <w:sz w:val="32"/>
          <w:szCs w:val="32"/>
        </w:rPr>
        <w:t>方向4：纳米驱油、原油原位改质及生化采油技术。</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科学目标:应用纳米技术、生物技术的超前理念，研究纳米智能驱油、原油原位改质、生化降</w:t>
      </w:r>
      <w:proofErr w:type="gramStart"/>
      <w:r w:rsidRPr="00957C0A">
        <w:rPr>
          <w:rFonts w:ascii="仿宋_GB2312" w:eastAsia="仿宋_GB2312" w:hAnsi="仿宋_GB2312" w:cs="仿宋_GB2312" w:hint="eastAsia"/>
          <w:color w:val="auto"/>
          <w:sz w:val="32"/>
          <w:szCs w:val="32"/>
        </w:rPr>
        <w:t>黏</w:t>
      </w:r>
      <w:proofErr w:type="gramEnd"/>
      <w:r w:rsidRPr="00957C0A">
        <w:rPr>
          <w:rFonts w:ascii="仿宋_GB2312" w:eastAsia="仿宋_GB2312" w:hAnsi="仿宋_GB2312" w:cs="仿宋_GB2312" w:hint="eastAsia"/>
          <w:color w:val="auto"/>
          <w:sz w:val="32"/>
          <w:szCs w:val="32"/>
        </w:rPr>
        <w:t>等机理，研发初具功能的原型技术，探索提高油气采收率的新思路。</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主要内容：</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1.纳米智能驱油机理及纳米智能驱油剂研究与评价；</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2.油藏原油原位改质降</w:t>
      </w:r>
      <w:proofErr w:type="gramStart"/>
      <w:r w:rsidRPr="00957C0A">
        <w:rPr>
          <w:rFonts w:ascii="仿宋_GB2312" w:eastAsia="仿宋_GB2312" w:hAnsi="仿宋_GB2312" w:cs="仿宋_GB2312" w:hint="eastAsia"/>
          <w:color w:val="auto"/>
          <w:sz w:val="32"/>
          <w:szCs w:val="32"/>
        </w:rPr>
        <w:t>黏</w:t>
      </w:r>
      <w:proofErr w:type="gramEnd"/>
      <w:r w:rsidRPr="00957C0A">
        <w:rPr>
          <w:rFonts w:ascii="仿宋_GB2312" w:eastAsia="仿宋_GB2312" w:hAnsi="仿宋_GB2312" w:cs="仿宋_GB2312" w:hint="eastAsia"/>
          <w:color w:val="auto"/>
          <w:sz w:val="32"/>
          <w:szCs w:val="32"/>
        </w:rPr>
        <w:t>开采技术；</w:t>
      </w:r>
    </w:p>
    <w:p w:rsidR="00575A2E" w:rsidRPr="00957C0A" w:rsidRDefault="00575A2E" w:rsidP="00575A2E">
      <w:pPr>
        <w:pStyle w:val="a3"/>
        <w:shd w:val="clear" w:color="auto" w:fill="FFFFFF"/>
        <w:spacing w:line="540" w:lineRule="exact"/>
        <w:ind w:firstLineChars="200" w:firstLine="640"/>
        <w:rPr>
          <w:rFonts w:ascii="仿宋_GB2312" w:eastAsia="仿宋_GB2312" w:hAnsi="仿宋_GB2312" w:cs="仿宋_GB2312" w:hint="eastAsia"/>
          <w:color w:val="auto"/>
          <w:sz w:val="32"/>
          <w:szCs w:val="32"/>
        </w:rPr>
      </w:pPr>
      <w:r w:rsidRPr="00957C0A">
        <w:rPr>
          <w:rFonts w:ascii="仿宋_GB2312" w:eastAsia="仿宋_GB2312" w:hAnsi="仿宋_GB2312" w:cs="仿宋_GB2312" w:hint="eastAsia"/>
          <w:color w:val="auto"/>
          <w:sz w:val="32"/>
          <w:szCs w:val="32"/>
        </w:rPr>
        <w:t>3.生化降</w:t>
      </w:r>
      <w:proofErr w:type="gramStart"/>
      <w:r w:rsidRPr="00957C0A">
        <w:rPr>
          <w:rFonts w:ascii="仿宋_GB2312" w:eastAsia="仿宋_GB2312" w:hAnsi="仿宋_GB2312" w:cs="仿宋_GB2312" w:hint="eastAsia"/>
          <w:color w:val="auto"/>
          <w:sz w:val="32"/>
          <w:szCs w:val="32"/>
        </w:rPr>
        <w:t>黏</w:t>
      </w:r>
      <w:proofErr w:type="gramEnd"/>
      <w:r w:rsidRPr="00957C0A">
        <w:rPr>
          <w:rFonts w:ascii="仿宋_GB2312" w:eastAsia="仿宋_GB2312" w:hAnsi="仿宋_GB2312" w:cs="仿宋_GB2312" w:hint="eastAsia"/>
          <w:color w:val="auto"/>
          <w:sz w:val="32"/>
          <w:szCs w:val="32"/>
        </w:rPr>
        <w:t>及生物技术在原油开采中的应用。</w:t>
      </w:r>
    </w:p>
    <w:p w:rsidR="00006869" w:rsidRPr="00575A2E" w:rsidRDefault="00575A2E"/>
    <w:sectPr w:rsidR="00006869" w:rsidRPr="00575A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A2E"/>
    <w:rsid w:val="00150F97"/>
    <w:rsid w:val="00575A2E"/>
    <w:rsid w:val="00775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DCDC8-A96F-4C15-9BE0-BA494EBE5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A2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75A2E"/>
    <w:pPr>
      <w:widowControl/>
      <w:spacing w:line="384" w:lineRule="auto"/>
      <w:jc w:val="left"/>
    </w:pPr>
    <w:rPr>
      <w:rFonts w:ascii="宋体" w:hAnsi="宋体" w:cs="宋体"/>
      <w:color w:val="333333"/>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547</Words>
  <Characters>3120</Characters>
  <Application>Microsoft Office Word</Application>
  <DocSecurity>0</DocSecurity>
  <Lines>26</Lines>
  <Paragraphs>7</Paragraphs>
  <ScaleCrop>false</ScaleCrop>
  <Company>微软中国</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2015-02-13T12:44:00Z</dcterms:created>
  <dcterms:modified xsi:type="dcterms:W3CDTF">2015-02-13T12:45:00Z</dcterms:modified>
</cp:coreProperties>
</file>