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09" w:rsidRDefault="007C7709" w:rsidP="007C7709">
      <w:pPr>
        <w:widowControl/>
        <w:shd w:val="clear" w:color="auto" w:fill="FFFFFF"/>
        <w:spacing w:before="150" w:after="100" w:afterAutospacing="1" w:line="432" w:lineRule="auto"/>
        <w:jc w:val="center"/>
        <w:rPr>
          <w:rFonts w:asciiTheme="minorEastAsia" w:hAnsiTheme="minorEastAsia"/>
          <w:sz w:val="24"/>
          <w:szCs w:val="24"/>
        </w:rPr>
      </w:pPr>
      <w:r>
        <w:rPr>
          <w:rFonts w:asciiTheme="minorEastAsia" w:hAnsiTheme="minorEastAsia" w:hint="eastAsia"/>
          <w:sz w:val="24"/>
          <w:szCs w:val="24"/>
        </w:rPr>
        <w:t>我校2016年发表ESI高被引论文（热点论文）清单</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3736"/>
        <w:gridCol w:w="1275"/>
        <w:gridCol w:w="938"/>
        <w:gridCol w:w="938"/>
        <w:gridCol w:w="978"/>
        <w:gridCol w:w="1832"/>
        <w:gridCol w:w="1345"/>
        <w:gridCol w:w="854"/>
        <w:gridCol w:w="799"/>
        <w:gridCol w:w="1275"/>
      </w:tblGrid>
      <w:tr w:rsidR="007C7709" w:rsidRPr="00AF068A" w:rsidTr="00617CC6">
        <w:trPr>
          <w:trHeight w:val="600"/>
          <w:tblHeader/>
        </w:trPr>
        <w:tc>
          <w:tcPr>
            <w:tcW w:w="158"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序号</w:t>
            </w:r>
          </w:p>
        </w:tc>
        <w:tc>
          <w:tcPr>
            <w:tcW w:w="1295"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论文题目</w:t>
            </w:r>
          </w:p>
        </w:tc>
        <w:tc>
          <w:tcPr>
            <w:tcW w:w="442"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第一作者</w:t>
            </w:r>
          </w:p>
        </w:tc>
        <w:tc>
          <w:tcPr>
            <w:tcW w:w="325" w:type="pct"/>
            <w:vAlign w:val="center"/>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第一作者单位</w:t>
            </w:r>
          </w:p>
        </w:tc>
        <w:tc>
          <w:tcPr>
            <w:tcW w:w="325"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通讯作者</w:t>
            </w:r>
          </w:p>
        </w:tc>
        <w:tc>
          <w:tcPr>
            <w:tcW w:w="339"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通讯作者单位</w:t>
            </w:r>
          </w:p>
        </w:tc>
        <w:tc>
          <w:tcPr>
            <w:tcW w:w="635"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发表期刊</w:t>
            </w:r>
          </w:p>
        </w:tc>
        <w:tc>
          <w:tcPr>
            <w:tcW w:w="466"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所属学科</w:t>
            </w:r>
          </w:p>
        </w:tc>
        <w:tc>
          <w:tcPr>
            <w:tcW w:w="296"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是否高被引论文</w:t>
            </w:r>
          </w:p>
        </w:tc>
        <w:tc>
          <w:tcPr>
            <w:tcW w:w="277" w:type="pct"/>
            <w:shd w:val="clear" w:color="auto" w:fill="auto"/>
            <w:noWrap/>
            <w:vAlign w:val="center"/>
            <w:hideMark/>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是否热点论文</w:t>
            </w:r>
          </w:p>
        </w:tc>
        <w:tc>
          <w:tcPr>
            <w:tcW w:w="442" w:type="pct"/>
            <w:vAlign w:val="center"/>
          </w:tcPr>
          <w:p w:rsidR="007C7709" w:rsidRPr="00AF068A" w:rsidRDefault="007C7709" w:rsidP="00617CC6">
            <w:pPr>
              <w:widowControl/>
              <w:rPr>
                <w:rFonts w:ascii="宋体" w:eastAsia="宋体" w:hAnsi="宋体" w:cs="宋体"/>
                <w:b/>
                <w:bCs/>
                <w:color w:val="000000" w:themeColor="text1"/>
                <w:kern w:val="0"/>
                <w:sz w:val="22"/>
              </w:rPr>
            </w:pPr>
            <w:r w:rsidRPr="00AF068A">
              <w:rPr>
                <w:rFonts w:ascii="宋体" w:eastAsia="宋体" w:hAnsi="宋体" w:cs="宋体" w:hint="eastAsia"/>
                <w:b/>
                <w:bCs/>
                <w:color w:val="000000" w:themeColor="text1"/>
                <w:kern w:val="0"/>
                <w:sz w:val="22"/>
              </w:rPr>
              <w:t>第一作者所在院部</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1</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Molecular dynamics simulations of oil transport through inorganic nanopores in shale</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王森</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（副教授）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在德克萨斯大学奥斯汀分校进行联合培养博士期间以该校为第一单位发表的论文</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Javadpour, Farzam</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外校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FUEL </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石工学院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2</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Monitoring on CO2 migration in a tight oil reservoir during CCS-EOR in Jilin Oilfield China</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任博（2009级硕士）</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任韶然</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ENERGY </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石工学院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3</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Exergy analysis of the LFC process</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李青松</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（教授）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李青松</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ENERGY CONVERSION AND MANAGEMENT</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化工学院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4</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Effect of pH on the growth of MoS2 (002) plane and electrocatalytic activity for HER</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胡文慧（2013级硕士）</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董斌，刘晨光</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INTERNATIONAL JOURNAL OF HYDROGEN ENERGY</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化工学院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lastRenderedPageBreak/>
              <w:t>5</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Combination of uniform SnO2 nanocrystals with nitrogen doped graphene for high-performance lithium-ion batteries anode </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李忠涛</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（副教授）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吴文婷</w:t>
            </w:r>
            <w:r w:rsidR="000C0484">
              <w:rPr>
                <w:rFonts w:ascii="宋体" w:eastAsia="宋体" w:hAnsi="宋体" w:cs="宋体" w:hint="eastAsia"/>
                <w:color w:val="000000" w:themeColor="text1"/>
                <w:kern w:val="0"/>
                <w:szCs w:val="21"/>
              </w:rPr>
              <w:t>，</w:t>
            </w:r>
            <w:r w:rsidR="000C0484" w:rsidRPr="000C0484">
              <w:rPr>
                <w:rFonts w:ascii="宋体" w:eastAsia="宋体" w:hAnsi="宋体" w:cs="宋体" w:hint="eastAsia"/>
                <w:color w:val="000000" w:themeColor="text1"/>
                <w:kern w:val="0"/>
                <w:szCs w:val="21"/>
              </w:rPr>
              <w:t>吴明铂</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CHEMICAL ENGINEERING JOURNAL </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化工学院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6</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Thermal buoyant smoke back-layering length in a naturally ventilated tunnel with vertical shafts</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王彦富</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（副教授）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王彦富</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APPLIED THERMAL ENGINEERING</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机电学院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7</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Fabrication of CuO hierarchical flower-like structures with biomimetic superamphiphobic, self-cleaning and corrosion resistance properties</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李好（2014级博士）</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于思荣</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CHEMICAL ENGINEERING JOURNAL</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机电学院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8</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Organically modified nano-clay facilitates pour point depressing activity of polyoctadecylacrylate </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姚博（2013级博士）</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杨飞</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FUEL </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储建学院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9</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Analytical considerations of slip flow and heat transfer through microfoams in mini/microchannels with asymmetric wall heat fluxes</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徐会金</w:t>
            </w:r>
          </w:p>
          <w:p w:rsidR="007C7709" w:rsidRPr="00AF068A" w:rsidRDefault="00135A43" w:rsidP="00617CC6">
            <w:pPr>
              <w:widowControl/>
              <w:adjustRightInd w:val="0"/>
              <w:snapToGrid w:val="0"/>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（讲师</w:t>
            </w:r>
            <w:r w:rsidR="007C7709" w:rsidRPr="00AF068A">
              <w:rPr>
                <w:rFonts w:ascii="宋体" w:eastAsia="宋体" w:hAnsi="宋体" w:cs="宋体" w:hint="eastAsia"/>
                <w:color w:val="000000" w:themeColor="text1"/>
                <w:kern w:val="0"/>
                <w:szCs w:val="21"/>
              </w:rPr>
              <w:t>）</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在上海交通大学作博士后期间以该校为第一单位发表的论文</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Zhao, C. Y</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外校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APPLIED THERMAL ENGINEERING</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工程</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储建学院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lastRenderedPageBreak/>
              <w:t>10</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Journey to burning half of global coal: Trajectory and drivers of China's coal use</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王强</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（教授）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王强</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RENEWABLE &amp; SUSTAINABLE ENERGY REVIEWS</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环境／生态学</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经管学院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11</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Impact of cheaper oil on economic system and climate change: A SWOT analysis</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王强</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（教授）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王强</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RENEWABLE &amp; SUSTAINABLE ENERGY REVIEWS</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环境／生态学</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经管学院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12</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Cobalt phosphide-based electrocatalysts: synthesis and phase catalytic activity comparison for hydrogen evolution </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潘原（2013级博士）</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柳云骐，刘晨光</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JOURNAL OF MATERIALS CHEMISTRY A </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材料科学</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化工学院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13</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color w:val="000000" w:themeColor="text1"/>
                <w:kern w:val="0"/>
                <w:szCs w:val="21"/>
              </w:rPr>
              <w:t>Metal-organic frameworks based luminescent materials for nitroaromatics sensing</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张亮亮</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（讲师）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孙道峰</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color w:val="000000" w:themeColor="text1"/>
                <w:kern w:val="0"/>
                <w:szCs w:val="21"/>
              </w:rPr>
              <w:t>CRYSTENGCOMM</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化学</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理学院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14</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Spiking neural P systems with request rules</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宋弢</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（副教授）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Pan, Linqiang</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外校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 xml:space="preserve">NEUROCOMPUTING </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计算机科学</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计通学院</w:t>
            </w:r>
          </w:p>
        </w:tc>
      </w:tr>
      <w:tr w:rsidR="007C7709" w:rsidRPr="00AF068A" w:rsidTr="00617CC6">
        <w:trPr>
          <w:trHeight w:val="600"/>
        </w:trPr>
        <w:tc>
          <w:tcPr>
            <w:tcW w:w="158" w:type="pct"/>
            <w:shd w:val="clear" w:color="auto" w:fill="auto"/>
            <w:noWrap/>
            <w:vAlign w:val="center"/>
            <w:hideMark/>
          </w:tcPr>
          <w:p w:rsidR="007C7709" w:rsidRPr="00AF068A" w:rsidRDefault="007C7709" w:rsidP="00617CC6">
            <w:pPr>
              <w:widowControl/>
              <w:adjustRightInd w:val="0"/>
              <w:snapToGrid w:val="0"/>
              <w:jc w:val="righ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15</w:t>
            </w:r>
          </w:p>
        </w:tc>
        <w:tc>
          <w:tcPr>
            <w:tcW w:w="129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On the Computational Power of Spiking Neural P Systems with Self-Organization</w:t>
            </w:r>
          </w:p>
        </w:tc>
        <w:tc>
          <w:tcPr>
            <w:tcW w:w="442" w:type="pct"/>
            <w:shd w:val="clear" w:color="auto" w:fill="auto"/>
            <w:noWrap/>
            <w:vAlign w:val="center"/>
            <w:hideMark/>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王珣</w:t>
            </w:r>
          </w:p>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（副教授）</w:t>
            </w:r>
          </w:p>
        </w:tc>
        <w:tc>
          <w:tcPr>
            <w:tcW w:w="325" w:type="pct"/>
            <w:vAlign w:val="center"/>
          </w:tcPr>
          <w:p w:rsidR="007C7709" w:rsidRPr="00AF068A" w:rsidRDefault="007C7709" w:rsidP="00617CC6">
            <w:pPr>
              <w:widowControl/>
              <w:adjustRightInd w:val="0"/>
              <w:snapToGrid w:val="0"/>
              <w:jc w:val="center"/>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325"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宋弢</w:t>
            </w:r>
          </w:p>
        </w:tc>
        <w:tc>
          <w:tcPr>
            <w:tcW w:w="339"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本校</w:t>
            </w:r>
          </w:p>
        </w:tc>
        <w:tc>
          <w:tcPr>
            <w:tcW w:w="635"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SCIENTIFIC REPORTS</w:t>
            </w:r>
          </w:p>
        </w:tc>
        <w:tc>
          <w:tcPr>
            <w:tcW w:w="466" w:type="pct"/>
            <w:shd w:val="clear" w:color="auto" w:fill="auto"/>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综合交叉</w:t>
            </w:r>
          </w:p>
        </w:tc>
        <w:tc>
          <w:tcPr>
            <w:tcW w:w="296"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是</w:t>
            </w:r>
          </w:p>
        </w:tc>
        <w:tc>
          <w:tcPr>
            <w:tcW w:w="277" w:type="pct"/>
            <w:shd w:val="clear" w:color="auto" w:fill="auto"/>
            <w:noWrap/>
            <w:vAlign w:val="center"/>
            <w:hideMark/>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否</w:t>
            </w:r>
          </w:p>
        </w:tc>
        <w:tc>
          <w:tcPr>
            <w:tcW w:w="442" w:type="pct"/>
            <w:vAlign w:val="center"/>
          </w:tcPr>
          <w:p w:rsidR="007C7709" w:rsidRPr="00AF068A" w:rsidRDefault="007C7709" w:rsidP="00617CC6">
            <w:pPr>
              <w:widowControl/>
              <w:adjustRightInd w:val="0"/>
              <w:snapToGrid w:val="0"/>
              <w:jc w:val="left"/>
              <w:rPr>
                <w:rFonts w:ascii="宋体" w:eastAsia="宋体" w:hAnsi="宋体" w:cs="宋体"/>
                <w:color w:val="000000" w:themeColor="text1"/>
                <w:kern w:val="0"/>
                <w:szCs w:val="21"/>
              </w:rPr>
            </w:pPr>
            <w:r w:rsidRPr="00AF068A">
              <w:rPr>
                <w:rFonts w:ascii="宋体" w:eastAsia="宋体" w:hAnsi="宋体" w:cs="宋体" w:hint="eastAsia"/>
                <w:color w:val="000000" w:themeColor="text1"/>
                <w:kern w:val="0"/>
                <w:szCs w:val="21"/>
              </w:rPr>
              <w:t>计通学院</w:t>
            </w:r>
          </w:p>
        </w:tc>
      </w:tr>
    </w:tbl>
    <w:p w:rsidR="007C7709" w:rsidRPr="00AF068A" w:rsidRDefault="007C7709" w:rsidP="007C7709">
      <w:pPr>
        <w:widowControl/>
        <w:shd w:val="clear" w:color="auto" w:fill="FFFFFF"/>
        <w:spacing w:before="150" w:after="100" w:afterAutospacing="1" w:line="432" w:lineRule="auto"/>
        <w:jc w:val="left"/>
        <w:rPr>
          <w:rFonts w:asciiTheme="minorEastAsia" w:hAnsiTheme="minorEastAsia"/>
          <w:color w:val="000000" w:themeColor="text1"/>
          <w:sz w:val="24"/>
          <w:szCs w:val="24"/>
        </w:rPr>
      </w:pPr>
    </w:p>
    <w:p w:rsidR="00C447C1" w:rsidRDefault="00C447C1"/>
    <w:sectPr w:rsidR="00C447C1" w:rsidSect="007C770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4FD" w:rsidRDefault="004F34FD" w:rsidP="000C0484">
      <w:r>
        <w:separator/>
      </w:r>
    </w:p>
  </w:endnote>
  <w:endnote w:type="continuationSeparator" w:id="1">
    <w:p w:rsidR="004F34FD" w:rsidRDefault="004F34FD" w:rsidP="000C04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4FD" w:rsidRDefault="004F34FD" w:rsidP="000C0484">
      <w:r>
        <w:separator/>
      </w:r>
    </w:p>
  </w:footnote>
  <w:footnote w:type="continuationSeparator" w:id="1">
    <w:p w:rsidR="004F34FD" w:rsidRDefault="004F34FD" w:rsidP="000C0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709"/>
    <w:rsid w:val="000C0484"/>
    <w:rsid w:val="000E6D39"/>
    <w:rsid w:val="00135A43"/>
    <w:rsid w:val="004F34FD"/>
    <w:rsid w:val="005C0DA7"/>
    <w:rsid w:val="006F2781"/>
    <w:rsid w:val="007C7709"/>
    <w:rsid w:val="00C44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0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0484"/>
    <w:rPr>
      <w:sz w:val="18"/>
      <w:szCs w:val="18"/>
    </w:rPr>
  </w:style>
  <w:style w:type="paragraph" w:styleId="a4">
    <w:name w:val="footer"/>
    <w:basedOn w:val="a"/>
    <w:link w:val="Char0"/>
    <w:uiPriority w:val="99"/>
    <w:semiHidden/>
    <w:unhideWhenUsed/>
    <w:rsid w:val="000C04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04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2017-02-28T03:06:00Z</dcterms:created>
  <dcterms:modified xsi:type="dcterms:W3CDTF">2017-03-01T01:46:00Z</dcterms:modified>
</cp:coreProperties>
</file>