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90" w:rsidRDefault="00A608D2" w:rsidP="00B663AF">
      <w:pPr>
        <w:pStyle w:val="aa"/>
        <w:shd w:val="clear" w:color="auto" w:fill="auto"/>
        <w:tabs>
          <w:tab w:val="left" w:pos="2837"/>
          <w:tab w:val="left" w:pos="9350"/>
        </w:tabs>
        <w:spacing w:line="240" w:lineRule="auto"/>
        <w:jc w:val="center"/>
        <w:rPr>
          <w:b/>
          <w:sz w:val="36"/>
          <w:szCs w:val="36"/>
        </w:rPr>
      </w:pPr>
      <w:r w:rsidRPr="00922998">
        <w:rPr>
          <w:b/>
          <w:sz w:val="36"/>
          <w:szCs w:val="36"/>
        </w:rPr>
        <w:t>山东省高等学校2020年春季学期开学条件核验细则</w:t>
      </w:r>
    </w:p>
    <w:p w:rsidR="008B292A" w:rsidRDefault="008B292A" w:rsidP="00B663AF">
      <w:pPr>
        <w:pStyle w:val="aa"/>
        <w:shd w:val="clear" w:color="auto" w:fill="auto"/>
        <w:tabs>
          <w:tab w:val="left" w:pos="2837"/>
          <w:tab w:val="left" w:pos="9350"/>
        </w:tabs>
        <w:spacing w:line="240" w:lineRule="auto"/>
        <w:jc w:val="center"/>
      </w:pPr>
    </w:p>
    <w:tbl>
      <w:tblPr>
        <w:tblW w:w="1332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166"/>
        <w:gridCol w:w="6100"/>
        <w:gridCol w:w="1418"/>
        <w:gridCol w:w="2268"/>
      </w:tblGrid>
      <w:tr w:rsidR="00B663AF" w:rsidTr="00B663AF">
        <w:trPr>
          <w:trHeight w:hRule="exact" w:val="614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5pt"/>
              </w:rPr>
              <w:t>核验项目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核验内容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核验要点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核验方式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B663AF" w:rsidTr="00B663AF">
        <w:trPr>
          <w:trHeight w:hRule="exact" w:val="667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组织体系和工作机制</w:t>
            </w:r>
          </w:p>
          <w:p w:rsidR="00B663AF" w:rsidRDefault="00B663AF" w:rsidP="00B663AF">
            <w:pPr>
              <w:pStyle w:val="20"/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zh-CN" w:bidi="en-US"/>
              </w:rPr>
              <w:t>1.成立</w:t>
            </w:r>
            <w:r>
              <w:rPr>
                <w:rStyle w:val="211pt"/>
              </w:rPr>
              <w:t>疫情处置工作领导小组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是否明确职责分工，是否专题研究疫情防控，是否部署防控措施。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636310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636310">
              <w:rPr>
                <w:rStyle w:val="211pt"/>
                <w:lang w:eastAsia="zh-CN"/>
              </w:rPr>
              <w:t>办公室</w:t>
            </w:r>
          </w:p>
        </w:tc>
      </w:tr>
      <w:tr w:rsidR="00B663AF" w:rsidTr="00B663AF">
        <w:trPr>
          <w:trHeight w:hRule="exact" w:val="541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pacing w:before="0" w:after="0" w:line="240" w:lineRule="auto"/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设立专项工作组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是否设立专项工作组，是否责任到岗、到人。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rPr>
                <w:rStyle w:val="211pt"/>
                <w:kern w:val="2"/>
                <w:lang w:eastAsia="zh-CN"/>
              </w:rPr>
            </w:pPr>
            <w:r w:rsidRPr="00110FF5">
              <w:rPr>
                <w:rStyle w:val="211pt"/>
                <w:kern w:val="2"/>
                <w:lang w:eastAsia="zh-CN"/>
              </w:rPr>
              <w:t>办公室</w:t>
            </w:r>
          </w:p>
        </w:tc>
      </w:tr>
      <w:tr w:rsidR="00B663AF" w:rsidTr="00B663AF">
        <w:trPr>
          <w:trHeight w:hRule="exact" w:val="417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8B292A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Fonts w:eastAsia="PMingLi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3.</w:t>
            </w:r>
            <w:r>
              <w:rPr>
                <w:rStyle w:val="211pt"/>
              </w:rPr>
              <w:t>设立专门督导组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是否已经开展督导检查。查看督导记录。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636310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办</w:t>
            </w:r>
            <w:r>
              <w:rPr>
                <w:rStyle w:val="211pt"/>
                <w:rFonts w:hint="eastAsia"/>
              </w:rPr>
              <w:t>公室</w:t>
            </w:r>
            <w:r>
              <w:rPr>
                <w:rStyle w:val="211pt"/>
                <w:rFonts w:hint="eastAsia"/>
                <w:lang w:eastAsia="zh-CN"/>
              </w:rPr>
              <w:t>、</w:t>
            </w:r>
            <w:r w:rsidRPr="00D16F49">
              <w:rPr>
                <w:rStyle w:val="211pt"/>
                <w:rFonts w:hint="eastAsia"/>
              </w:rPr>
              <w:t>督查组</w:t>
            </w:r>
          </w:p>
        </w:tc>
      </w:tr>
      <w:tr w:rsidR="00B663AF" w:rsidTr="00B663AF">
        <w:trPr>
          <w:trHeight w:hRule="exact" w:val="667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4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设立疫情防控专家组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是否设立疫情防控专家组指导校园疫情防控工作。</w:t>
            </w:r>
          </w:p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后勤组</w:t>
            </w:r>
          </w:p>
        </w:tc>
      </w:tr>
      <w:tr w:rsidR="00B663AF" w:rsidTr="00B663AF">
        <w:trPr>
          <w:trHeight w:hRule="exact" w:val="885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5.</w:t>
            </w:r>
            <w:r>
              <w:rPr>
                <w:rStyle w:val="211pt"/>
              </w:rPr>
              <w:t>信息报送机制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是否建立学校、校区、院系、班级、教师、学生</w:t>
            </w:r>
            <w:bookmarkStart w:id="0" w:name="_GoBack"/>
            <w:bookmarkEnd w:id="0"/>
            <w:r>
              <w:rPr>
                <w:rStyle w:val="211pt"/>
              </w:rPr>
              <w:t>沟通渠道；是否坚持24小时值班制度；是否实行“日报告”、“零报告”制度。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Pr="00D03B2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现场连线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办公室、学工组</w:t>
            </w:r>
          </w:p>
          <w:p w:rsidR="00B663AF" w:rsidRPr="00636310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教工组、外事组</w:t>
            </w:r>
          </w:p>
        </w:tc>
      </w:tr>
      <w:tr w:rsidR="00B663AF" w:rsidTr="00B663AF">
        <w:trPr>
          <w:trHeight w:hRule="exact" w:val="856"/>
        </w:trPr>
        <w:tc>
          <w:tcPr>
            <w:tcW w:w="1373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  <w:lang w:bidi="en-US"/>
              </w:rPr>
              <w:t>6.</w:t>
            </w:r>
            <w:r>
              <w:rPr>
                <w:rStyle w:val="211pt"/>
              </w:rPr>
              <w:t>与卫生、公安等部门建立联防联控机制</w:t>
            </w:r>
          </w:p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现场连线定点医疗机构和派出所电话进行查验。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现场连线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后勤组</w:t>
            </w:r>
          </w:p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  <w:rFonts w:hint="eastAsia"/>
                <w:lang w:eastAsia="zh-CN"/>
              </w:rPr>
              <w:t>治安组</w:t>
            </w:r>
          </w:p>
        </w:tc>
      </w:tr>
      <w:tr w:rsidR="00B663AF" w:rsidTr="00B663AF">
        <w:trPr>
          <w:trHeight w:hRule="exact" w:val="713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方案制定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7.</w:t>
            </w:r>
            <w:r>
              <w:rPr>
                <w:rStyle w:val="211pt"/>
              </w:rPr>
              <w:t>开学工作方案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6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是否制定开学工作方案，是否报教育主管部门备案。</w:t>
            </w:r>
          </w:p>
          <w:p w:rsidR="00B663AF" w:rsidRPr="00110FF5" w:rsidRDefault="00B663AF" w:rsidP="00B663AF">
            <w:pPr>
              <w:pStyle w:val="20"/>
              <w:shd w:val="clear" w:color="auto" w:fill="auto"/>
              <w:spacing w:before="60" w:after="0" w:line="240" w:lineRule="auto"/>
              <w:jc w:val="left"/>
              <w:rPr>
                <w:rStyle w:val="211pt"/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8B292A">
              <w:rPr>
                <w:rStyle w:val="211pt"/>
                <w:rFonts w:hint="eastAsia"/>
                <w:lang w:eastAsia="zh-CN"/>
              </w:rPr>
              <w:t>教学组</w:t>
            </w:r>
            <w:r>
              <w:rPr>
                <w:rStyle w:val="211pt"/>
                <w:rFonts w:hint="eastAsia"/>
                <w:lang w:eastAsia="zh-CN"/>
              </w:rPr>
              <w:t>、</w:t>
            </w:r>
            <w:r w:rsidRPr="008B292A">
              <w:rPr>
                <w:rStyle w:val="211pt"/>
                <w:rFonts w:hint="eastAsia"/>
                <w:lang w:eastAsia="zh-CN"/>
              </w:rPr>
              <w:t>学工组</w:t>
            </w:r>
          </w:p>
          <w:p w:rsidR="00B663AF" w:rsidRPr="008B292A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8B292A">
              <w:rPr>
                <w:rStyle w:val="211pt"/>
                <w:rFonts w:hint="eastAsia"/>
                <w:lang w:eastAsia="zh-CN"/>
              </w:rPr>
              <w:t>教工组</w:t>
            </w:r>
            <w:r>
              <w:rPr>
                <w:rStyle w:val="211pt"/>
                <w:rFonts w:hint="eastAsia"/>
                <w:lang w:eastAsia="zh-CN"/>
              </w:rPr>
              <w:t>、</w:t>
            </w:r>
            <w:r w:rsidRPr="008B292A">
              <w:rPr>
                <w:rStyle w:val="211pt"/>
                <w:rFonts w:hint="eastAsia"/>
                <w:lang w:eastAsia="zh-CN"/>
              </w:rPr>
              <w:t>外事组</w:t>
            </w:r>
          </w:p>
        </w:tc>
      </w:tr>
      <w:tr w:rsidR="00B663AF" w:rsidTr="00B663AF">
        <w:trPr>
          <w:trHeight w:hRule="exact" w:val="85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8.</w:t>
            </w:r>
            <w:r>
              <w:rPr>
                <w:rStyle w:val="211pt"/>
              </w:rPr>
              <w:t>日常防控方案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消毒清洁、体温测量、进出管理等相关内容是否完备；随机访谈教职员工是否知悉情况。</w:t>
            </w:r>
          </w:p>
          <w:p w:rsidR="00B663AF" w:rsidRPr="00110FF5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8B292A">
              <w:rPr>
                <w:rStyle w:val="211pt"/>
                <w:rFonts w:hint="eastAsia"/>
                <w:lang w:eastAsia="zh-CN"/>
              </w:rPr>
              <w:t>后勤组</w:t>
            </w:r>
            <w:r>
              <w:rPr>
                <w:rStyle w:val="211pt"/>
                <w:rFonts w:hint="eastAsia"/>
                <w:lang w:eastAsia="zh-CN"/>
              </w:rPr>
              <w:t>、</w:t>
            </w:r>
            <w:r w:rsidRPr="008B292A">
              <w:rPr>
                <w:rStyle w:val="211pt"/>
                <w:rFonts w:hint="eastAsia"/>
                <w:lang w:eastAsia="zh-CN"/>
              </w:rPr>
              <w:t>学工组</w:t>
            </w:r>
          </w:p>
          <w:p w:rsidR="00B663AF" w:rsidRPr="008B292A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8B292A">
              <w:rPr>
                <w:rStyle w:val="211pt"/>
                <w:rFonts w:hint="eastAsia"/>
                <w:lang w:eastAsia="zh-CN"/>
              </w:rPr>
              <w:t>教工组</w:t>
            </w:r>
            <w:r>
              <w:rPr>
                <w:rStyle w:val="211pt"/>
                <w:rFonts w:hint="eastAsia"/>
                <w:lang w:eastAsia="zh-CN"/>
              </w:rPr>
              <w:t>、外事组</w:t>
            </w:r>
          </w:p>
          <w:p w:rsidR="00B663AF" w:rsidRPr="008B292A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 w:rsidRPr="008B292A">
              <w:rPr>
                <w:rStyle w:val="211pt"/>
                <w:rFonts w:hint="eastAsia"/>
                <w:lang w:eastAsia="zh-CN"/>
              </w:rPr>
              <w:t>治安组</w:t>
            </w:r>
          </w:p>
          <w:p w:rsidR="00B663AF" w:rsidRPr="008B292A" w:rsidRDefault="00B663AF" w:rsidP="00B663AF">
            <w:pPr>
              <w:rPr>
                <w:rStyle w:val="211pt"/>
                <w:kern w:val="2"/>
                <w:lang w:eastAsia="zh-CN"/>
              </w:rPr>
            </w:pPr>
          </w:p>
        </w:tc>
      </w:tr>
      <w:tr w:rsidR="00B663AF" w:rsidTr="00B663AF">
        <w:trPr>
          <w:trHeight w:hRule="exact" w:val="713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rPr>
                <w:rStyle w:val="211pt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9.</w:t>
            </w:r>
            <w:r>
              <w:rPr>
                <w:rStyle w:val="211pt"/>
              </w:rPr>
              <w:t>应急预案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是否具</w:t>
            </w:r>
            <w:r w:rsidRPr="00615678">
              <w:rPr>
                <w:rStyle w:val="211pt"/>
              </w:rPr>
              <w:t>有可行性，可现场测试；现场随机访谈教职员工对应急处置流程知悉情</w:t>
            </w:r>
            <w:r>
              <w:rPr>
                <w:rStyle w:val="211pt"/>
              </w:rPr>
              <w:t>况。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4D7B24" w:rsidRDefault="00B663AF" w:rsidP="00B663AF">
            <w:pPr>
              <w:rPr>
                <w:rStyle w:val="211pt"/>
                <w:kern w:val="2"/>
              </w:rPr>
            </w:pPr>
            <w:r w:rsidRPr="004D7B24">
              <w:rPr>
                <w:rStyle w:val="211pt"/>
                <w:rFonts w:hint="eastAsia"/>
                <w:kern w:val="2"/>
              </w:rPr>
              <w:t>办公室</w:t>
            </w:r>
          </w:p>
          <w:p w:rsidR="00B663AF" w:rsidRPr="00110FF5" w:rsidRDefault="00B663AF" w:rsidP="00B663AF">
            <w:pPr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各工作组</w:t>
            </w:r>
          </w:p>
        </w:tc>
      </w:tr>
      <w:tr w:rsidR="00B663AF" w:rsidTr="004267AA">
        <w:trPr>
          <w:trHeight w:hRule="exact" w:val="689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jc w:val="center"/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10.</w:t>
            </w:r>
            <w:r>
              <w:rPr>
                <w:rStyle w:val="211pt"/>
              </w:rPr>
              <w:t>舆情应对预案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是否安排专人应对舆情，随机访谈是否熟悉处置舆情的流程和要点。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宣传组</w:t>
            </w:r>
          </w:p>
        </w:tc>
      </w:tr>
    </w:tbl>
    <w:p w:rsidR="00A608D2" w:rsidRDefault="00A608D2" w:rsidP="00B663AF">
      <w:pPr>
        <w:jc w:val="center"/>
        <w:rPr>
          <w:sz w:val="2"/>
          <w:szCs w:val="2"/>
        </w:rPr>
      </w:pPr>
    </w:p>
    <w:tbl>
      <w:tblPr>
        <w:tblOverlap w:val="never"/>
        <w:tblW w:w="13041" w:type="dxa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5953"/>
        <w:gridCol w:w="1418"/>
        <w:gridCol w:w="1984"/>
      </w:tblGrid>
      <w:tr w:rsidR="00B663AF" w:rsidTr="0056695A">
        <w:trPr>
          <w:trHeight w:hRule="exact"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5pt"/>
              </w:rPr>
              <w:lastRenderedPageBreak/>
              <w:t>核验项目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核验内容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核验要点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核验方式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B663AF" w:rsidTr="0056695A">
        <w:trPr>
          <w:trHeight w:hRule="exact" w:val="9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11.</w:t>
            </w:r>
            <w:r>
              <w:rPr>
                <w:rStyle w:val="211pt"/>
              </w:rPr>
              <w:t>师生日检制度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是否明确各环节负责人，相关人员是否熟悉发现问题后的处置流程。工作人员现场演示操作、记 录是否规范。</w:t>
            </w:r>
          </w:p>
          <w:p w:rsidR="00FD42CB" w:rsidRPr="00FD42CB" w:rsidRDefault="00FD42CB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学工组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外事组</w:t>
            </w:r>
          </w:p>
        </w:tc>
      </w:tr>
      <w:tr w:rsidR="00B663AF" w:rsidTr="0056695A">
        <w:trPr>
          <w:trHeight w:hRule="exact" w:val="843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12.</w:t>
            </w:r>
            <w:r>
              <w:rPr>
                <w:rStyle w:val="211pt"/>
              </w:rPr>
              <w:t>卫生清洁消毒制度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FD42CB" w:rsidRPr="00FD42CB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是否明确各环节负责人，消毒场所、频次、消毒剂使用是否科学、准确。厕所消杀和教室通风制 度是否落实。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56695A">
        <w:trPr>
          <w:trHeight w:hRule="exact" w:val="713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制度建立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13.</w:t>
            </w:r>
            <w:r>
              <w:rPr>
                <w:rStyle w:val="211pt"/>
              </w:rPr>
              <w:t>校园安全管理制度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校园是否实行封闭式管理</w:t>
            </w:r>
            <w:r>
              <w:rPr>
                <w:rStyle w:val="211pt"/>
                <w:rFonts w:hint="eastAsia"/>
                <w:lang w:eastAsia="zh-CN"/>
              </w:rPr>
              <w:t>，</w:t>
            </w:r>
            <w:r>
              <w:rPr>
                <w:rStyle w:val="211pt"/>
              </w:rPr>
              <w:t>“五个一律”要求是否落实。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治安组</w:t>
            </w:r>
          </w:p>
        </w:tc>
      </w:tr>
      <w:tr w:rsidR="00B663AF" w:rsidTr="0056695A">
        <w:trPr>
          <w:trHeight w:hRule="exact" w:val="84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14.</w:t>
            </w:r>
            <w:r>
              <w:rPr>
                <w:rStyle w:val="211pt"/>
              </w:rPr>
              <w:t>健康教育制度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lang w:eastAsia="zh-CN"/>
              </w:rPr>
            </w:pPr>
            <w:r>
              <w:rPr>
                <w:rStyle w:val="211pt"/>
              </w:rPr>
              <w:t>查看健康教育的内容是否完备、形式是否灵活多样。</w:t>
            </w:r>
          </w:p>
          <w:p w:rsidR="00B663AF" w:rsidRP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rPr>
                <w:rStyle w:val="211pt"/>
                <w:rFonts w:eastAsia="PMingLiU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学工组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外事组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宣传组</w:t>
            </w:r>
          </w:p>
        </w:tc>
      </w:tr>
      <w:tr w:rsidR="00B663AF" w:rsidTr="0056695A">
        <w:trPr>
          <w:trHeight w:hRule="exact" w:val="995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110FF5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15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缺勤登记追踪制度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是否责任具体到人，是否明确登记追踪流程。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查阅资料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rPr>
                <w:rStyle w:val="211pt"/>
                <w:rFonts w:eastAsia="PMingLiU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学工组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外事组</w:t>
            </w:r>
          </w:p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</w:p>
        </w:tc>
      </w:tr>
      <w:tr w:rsidR="00B663AF" w:rsidTr="0056695A">
        <w:trPr>
          <w:trHeight w:hRule="exact" w:val="711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16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废弃口罩集中处理制度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实地查看废弃口罩垃圾桶设置位置、数量，是否按要求规范管理。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56695A">
        <w:trPr>
          <w:trHeight w:hRule="exact" w:val="99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pt"/>
              </w:rPr>
              <w:t>全员培训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17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教职工全员培训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查看培训记录、视频影像；现场随机询问关键岗位教职员工是否参加培训以及培训次数、培训内容。</w:t>
            </w:r>
          </w:p>
          <w:p w:rsidR="00FD42CB" w:rsidRPr="00FD42CB" w:rsidRDefault="00FD42CB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教工组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宣传组</w:t>
            </w:r>
          </w:p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56695A">
        <w:trPr>
          <w:trHeight w:hRule="exact" w:val="993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18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师生进行相关知识宣教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查看宣教记录；现场随机询问师生是否参加培训以及培训次数、培训内容，学校是否组织宣教活动。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随机访谈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B663AF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宣传组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学工组</w:t>
            </w:r>
          </w:p>
          <w:p w:rsidR="00B663AF" w:rsidRPr="00110FF5" w:rsidRDefault="00B663AF" w:rsidP="00FD42CB">
            <w:pPr>
              <w:framePr w:w="13627" w:wrap="notBeside" w:vAnchor="text" w:hAnchor="text" w:xAlign="center" w:y="1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教工组</w:t>
            </w:r>
            <w:r>
              <w:rPr>
                <w:rStyle w:val="211pt"/>
                <w:rFonts w:hint="eastAsia"/>
                <w:kern w:val="2"/>
                <w:lang w:eastAsia="zh-CN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外事组</w:t>
            </w:r>
          </w:p>
        </w:tc>
      </w:tr>
    </w:tbl>
    <w:p w:rsidR="00A608D2" w:rsidRDefault="00A608D2" w:rsidP="00B663AF">
      <w:pPr>
        <w:framePr w:w="13627" w:wrap="notBeside" w:vAnchor="text" w:hAnchor="text" w:xAlign="center" w:y="1"/>
        <w:jc w:val="center"/>
        <w:rPr>
          <w:sz w:val="2"/>
          <w:szCs w:val="2"/>
        </w:rPr>
      </w:pPr>
    </w:p>
    <w:p w:rsidR="00A608D2" w:rsidRDefault="00A608D2" w:rsidP="00B663AF">
      <w:pPr>
        <w:jc w:val="center"/>
        <w:rPr>
          <w:sz w:val="2"/>
          <w:szCs w:val="2"/>
        </w:rPr>
        <w:sectPr w:rsidR="00A608D2">
          <w:pgSz w:w="16840" w:h="11900" w:orient="landscape"/>
          <w:pgMar w:top="1396" w:right="1633" w:bottom="1719" w:left="1580" w:header="0" w:footer="3" w:gutter="0"/>
          <w:cols w:space="720"/>
          <w:noEndnote/>
          <w:docGrid w:linePitch="360"/>
        </w:sectPr>
      </w:pPr>
    </w:p>
    <w:tbl>
      <w:tblPr>
        <w:tblOverlap w:val="never"/>
        <w:tblW w:w="1304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6662"/>
        <w:gridCol w:w="1418"/>
        <w:gridCol w:w="1842"/>
      </w:tblGrid>
      <w:tr w:rsidR="00B663AF" w:rsidTr="006C5CA1">
        <w:trPr>
          <w:trHeight w:hRule="exact" w:val="6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5pt"/>
              </w:rPr>
              <w:lastRenderedPageBreak/>
              <w:t>核验项目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核验内容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核验要点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B663AF" w:rsidTr="006C5CA1">
        <w:trPr>
          <w:trHeight w:hRule="exact" w:val="8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应急处置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030FB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6030FB">
              <w:rPr>
                <w:rStyle w:val="211pt"/>
              </w:rPr>
              <w:t>19</w:t>
            </w:r>
            <w:r w:rsidRPr="006030FB">
              <w:rPr>
                <w:rStyle w:val="211pt"/>
                <w:rFonts w:hint="eastAsia"/>
              </w:rPr>
              <w:t>.</w:t>
            </w:r>
            <w:r w:rsidRPr="006030FB">
              <w:rPr>
                <w:rStyle w:val="211pt"/>
              </w:rPr>
              <w:t>应急演练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030FB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6030FB">
              <w:rPr>
                <w:rStyle w:val="211pt"/>
              </w:rPr>
              <w:t>查看演练记录，视频影像等；现场询问是否及时发现问题，整改措施具体有哪些。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030FB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6030FB">
              <w:rPr>
                <w:rStyle w:val="211pt"/>
              </w:rPr>
              <w:t>查阅资料</w:t>
            </w:r>
          </w:p>
          <w:p w:rsidR="00B663AF" w:rsidRPr="006030FB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6030FB">
              <w:rPr>
                <w:rStyle w:val="211pt"/>
              </w:rPr>
              <w:t>随机访谈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6030FB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6030FB">
              <w:rPr>
                <w:rStyle w:val="211pt"/>
                <w:rFonts w:hint="eastAsia"/>
                <w:kern w:val="2"/>
              </w:rPr>
              <w:t>办公室</w:t>
            </w:r>
          </w:p>
          <w:p w:rsidR="00B663AF" w:rsidRPr="006030FB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6030FB">
              <w:rPr>
                <w:rStyle w:val="211pt"/>
                <w:rFonts w:hint="eastAsia"/>
                <w:kern w:val="2"/>
              </w:rPr>
              <w:t>各工作组</w:t>
            </w:r>
          </w:p>
        </w:tc>
      </w:tr>
      <w:tr w:rsidR="00B663AF" w:rsidTr="006C5CA1">
        <w:trPr>
          <w:trHeight w:hRule="exact" w:val="855"/>
        </w:trPr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framePr w:w="13627" w:wrap="notBeside" w:vAnchor="text" w:hAnchor="page" w:x="1681" w:y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20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模拟演练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随机抽取一组教职工进行操作演示，包括晨午检、教室卫生管理、疑似患者报告、隔离等，演示是否规</w:t>
            </w:r>
            <w:r>
              <w:rPr>
                <w:rStyle w:val="211pt"/>
                <w:rFonts w:hint="eastAsia"/>
              </w:rPr>
              <w:t>范</w:t>
            </w:r>
            <w:r>
              <w:rPr>
                <w:rStyle w:val="211pt"/>
              </w:rPr>
              <w:t>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现场演示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6C5CA1">
        <w:trPr>
          <w:trHeight w:hRule="exact"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56695A">
            <w:pPr>
              <w:framePr w:w="13627" w:wrap="notBeside" w:vAnchor="text" w:hAnchor="page" w:x="1681" w:y="6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21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师生员工健康台账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查看健康台账信息是否完整，是否责任具体到人，是否明确报送途径、流程。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随机访谈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学工组</w:t>
            </w:r>
            <w:r w:rsidR="00FD42CB">
              <w:rPr>
                <w:rStyle w:val="211pt"/>
                <w:rFonts w:hint="eastAsia"/>
                <w:kern w:val="2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外事组</w:t>
            </w:r>
          </w:p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</w:tc>
      </w:tr>
      <w:tr w:rsidR="00B663AF" w:rsidTr="006C5CA1">
        <w:trPr>
          <w:trHeight w:hRule="exact" w:val="847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全面排查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22.</w:t>
            </w:r>
            <w:r>
              <w:rPr>
                <w:rStyle w:val="211pt"/>
              </w:rPr>
              <w:t>排查重点人员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是否对重点人员进行筛选，制作健康监测名册，并制定“一人一策”返校方案。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随机访谈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6A5BBA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学工组</w:t>
            </w:r>
            <w:r w:rsidR="00FD42CB">
              <w:rPr>
                <w:rStyle w:val="211pt"/>
                <w:rFonts w:hint="eastAsia"/>
                <w:kern w:val="2"/>
              </w:rPr>
              <w:t>、</w:t>
            </w:r>
            <w:r w:rsidRPr="00110FF5">
              <w:rPr>
                <w:rStyle w:val="211pt"/>
                <w:rFonts w:hint="eastAsia"/>
                <w:kern w:val="2"/>
              </w:rPr>
              <w:t>教工组</w:t>
            </w:r>
          </w:p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外事组</w:t>
            </w:r>
          </w:p>
        </w:tc>
      </w:tr>
      <w:tr w:rsidR="00B663AF" w:rsidTr="006C5CA1">
        <w:trPr>
          <w:trHeight w:hRule="exact"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56695A">
            <w:pPr>
              <w:framePr w:w="13627" w:wrap="notBeside" w:vAnchor="text" w:hAnchor="page" w:x="1681" w:y="60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477D26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  <w:lang w:bidi="en-US"/>
              </w:rPr>
              <w:t>23.</w:t>
            </w:r>
            <w:r>
              <w:rPr>
                <w:rStyle w:val="211pt"/>
              </w:rPr>
              <w:t>设置充足水龙头、肥皂、洗手液等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查看水龙头数量是否充足、布局是否合理，是否配备肥皂、洗手液等。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6C5CA1">
        <w:trPr>
          <w:trHeight w:hRule="exact" w:val="113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物资保障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24.</w:t>
            </w:r>
            <w:r>
              <w:rPr>
                <w:rStyle w:val="211pt"/>
              </w:rPr>
              <w:t>物资储备落实情况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查看疫情防控日常物品储备情况及登记记录。是否测算并建立应急处置物品需求清单，与驻地政府有关部门对接。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6865F4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  <w:p w:rsidR="00B663AF" w:rsidRPr="006865F4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6865F4">
              <w:rPr>
                <w:rStyle w:val="211pt"/>
                <w:rFonts w:hint="eastAsia"/>
                <w:kern w:val="2"/>
              </w:rPr>
              <w:t>办公室</w:t>
            </w:r>
          </w:p>
        </w:tc>
      </w:tr>
      <w:tr w:rsidR="00B663AF" w:rsidTr="006C5CA1">
        <w:trPr>
          <w:trHeight w:hRule="exact" w:val="86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清洁消毒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25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消毒记录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是否做好消毒记录，重点查看消毒时间、方式、责任人等。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  <w:tr w:rsidR="00B663AF" w:rsidTr="006C5CA1">
        <w:trPr>
          <w:trHeight w:hRule="exact" w:val="1271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framePr w:w="13627" w:wrap="notBeside" w:vAnchor="text" w:hAnchor="page" w:x="1681" w:y="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26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操作演示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查看消毒记录（地点、时间等）；相关人员进行操作演示，考核操作是否符合规定，消毒剂选用、作业时间、个人防护等是否科学、规范。</w:t>
            </w:r>
          </w:p>
          <w:p w:rsidR="009802E9" w:rsidRPr="006A5BBA" w:rsidRDefault="009802E9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查阅资料</w:t>
            </w:r>
          </w:p>
          <w:p w:rsidR="00B663AF" w:rsidRPr="006A5BBA" w:rsidRDefault="00B663AF" w:rsidP="0056695A">
            <w:pPr>
              <w:pStyle w:val="20"/>
              <w:framePr w:w="13627" w:wrap="notBeside" w:vAnchor="text" w:hAnchor="page" w:x="1681" w:y="60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110FF5" w:rsidRDefault="00B663AF" w:rsidP="0056695A">
            <w:pPr>
              <w:framePr w:w="13627" w:wrap="notBeside" w:vAnchor="text" w:hAnchor="page" w:x="1681" w:y="60"/>
              <w:rPr>
                <w:rStyle w:val="211pt"/>
                <w:kern w:val="2"/>
              </w:rPr>
            </w:pPr>
            <w:r w:rsidRPr="00110FF5">
              <w:rPr>
                <w:rStyle w:val="211pt"/>
                <w:rFonts w:hint="eastAsia"/>
                <w:kern w:val="2"/>
              </w:rPr>
              <w:t>后勤组</w:t>
            </w:r>
          </w:p>
        </w:tc>
      </w:tr>
    </w:tbl>
    <w:p w:rsidR="00A608D2" w:rsidRDefault="00A608D2" w:rsidP="0056695A">
      <w:pPr>
        <w:framePr w:w="13627" w:wrap="notBeside" w:vAnchor="text" w:hAnchor="page" w:x="1681" w:y="60"/>
        <w:jc w:val="center"/>
        <w:rPr>
          <w:sz w:val="2"/>
          <w:szCs w:val="2"/>
        </w:rPr>
      </w:pPr>
    </w:p>
    <w:p w:rsidR="00A608D2" w:rsidRDefault="00A608D2" w:rsidP="00B663AF">
      <w:pPr>
        <w:jc w:val="center"/>
        <w:rPr>
          <w:sz w:val="2"/>
          <w:szCs w:val="2"/>
        </w:rPr>
      </w:pPr>
    </w:p>
    <w:tbl>
      <w:tblPr>
        <w:tblOverlap w:val="never"/>
        <w:tblW w:w="133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024"/>
        <w:gridCol w:w="6521"/>
        <w:gridCol w:w="1276"/>
        <w:gridCol w:w="2126"/>
      </w:tblGrid>
      <w:tr w:rsidR="00B663AF" w:rsidTr="00336194">
        <w:trPr>
          <w:trHeight w:hRule="exact" w:val="6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5pt"/>
              </w:rPr>
              <w:lastRenderedPageBreak/>
              <w:t>核验项目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核验内容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核验要点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核验方式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B663AF" w:rsidTr="00336194">
        <w:trPr>
          <w:trHeight w:hRule="exact" w:val="816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隔离区域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27.</w:t>
            </w:r>
            <w:r>
              <w:rPr>
                <w:rStyle w:val="211pt"/>
              </w:rPr>
              <w:t>应急隔离空间设置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4267AA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现场应急隔离区域的区域划定、卫生条件、设施配备等是否符合规定，是否有明确负责人。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B663AF" w:rsidRDefault="00B663AF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B663AF" w:rsidRPr="00110FF5" w:rsidRDefault="00B663AF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336194">
        <w:trPr>
          <w:trHeight w:hRule="exact" w:val="653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餐饮管理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  <w:lang w:eastAsia="en-US" w:bidi="en-US"/>
              </w:rPr>
              <w:t>28.</w:t>
            </w:r>
            <w:r>
              <w:rPr>
                <w:rStyle w:val="211pt"/>
              </w:rPr>
              <w:t>食品经营许可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P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6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是否持有有效《食品经营许可证》，未超范围经营。</w:t>
            </w:r>
          </w:p>
          <w:p w:rsidR="004267AA" w:rsidRP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60" w:line="240" w:lineRule="auto"/>
              <w:jc w:val="left"/>
              <w:rPr>
                <w:rStyle w:val="211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336194">
        <w:trPr>
          <w:trHeight w:hRule="exact" w:val="1614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framePr w:w="13627" w:wrap="notBeside" w:vAnchor="text" w:hAnchor="text" w:xAlign="center" w:y="1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29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食品安全组织管理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9802E9" w:rsidRPr="009802E9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是否建立了以校长为第一责任人的食品安全责任制，是否有健全的食品安全管理组织机构并运行良好，是否有专职食品安全管理人员并落实食品安全责任。学校是否按时进行食品安全自查并有自查记录。是否有实际有效的食品安全突发事件应急处置预案并熟悉处置过程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336194">
        <w:trPr>
          <w:trHeight w:hRule="exact" w:val="156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framePr w:w="13627" w:wrap="notBeside" w:vAnchor="text" w:hAnchor="text" w:xAlign="center" w:y="1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30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餐饮从业人员管理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9802E9" w:rsidRPr="009802E9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是否开展岗前培训和食品安全知识培训，建立从业人员健康管理档案，从业人员是否持有有效健康证（疫情期间到期的有效期可延续至疫情结束后1个月）。是否每日晨检并做好记录，是否做好个人防护，是否佩戴口罩并保持手部清洁，是否进行身份核验、体温检测等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336194">
        <w:trPr>
          <w:trHeight w:hRule="exact" w:val="1698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framePr w:w="13627" w:wrap="notBeside" w:vAnchor="text" w:hAnchor="text" w:xAlign="center" w:y="1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31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食堂进货渠道管理（含集体配餐</w:t>
            </w:r>
            <w:r>
              <w:rPr>
                <w:rStyle w:val="211pt"/>
                <w:lang w:bidi="en-US"/>
              </w:rPr>
              <w:t>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食品原材料釆购渠道是否可追溯，索证索票是否规范、齐全。未饲养、宰杀畜禽等动物，未釆购、使用野生动物，未釆购、使用未按规定检疫检验或检疫检验不合格的肉类及其制品，未釆购、使用病死、毒死或死因不明的畜禽动物肉类及其制品。釆购和配送车辆是否干净卫生、专车专用。</w:t>
            </w:r>
          </w:p>
          <w:p w:rsidR="009802E9" w:rsidRPr="009802E9" w:rsidRDefault="009802E9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56695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  <w:p w:rsidR="004267AA" w:rsidRPr="0056695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  <w:p w:rsidR="004267AA" w:rsidRPr="0056695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</w:tr>
      <w:tr w:rsidR="004267AA" w:rsidTr="00336194">
        <w:trPr>
          <w:trHeight w:hRule="exact" w:val="1080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framePr w:w="13627" w:wrap="notBeside" w:vAnchor="text" w:hAnchor="text" w:xAlign="center" w:y="1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32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原料贮存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原料贮存温度、是否湿度符合安全要求，离墙离地存放，没有“三无”、过期、变质食品。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336194">
        <w:trPr>
          <w:trHeight w:hRule="exact" w:val="913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framePr w:w="13627" w:wrap="notBeside" w:vAnchor="text" w:hAnchor="text" w:xAlign="center" w:y="1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33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环境卫生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场所、布局是否合理，是否保持食品加工区和就餐场所环境整洁卫生和空气流通，是否及时对地 面、墙面、桌椅等进行消毒，是否有防鼠防蝇防 虫防尘措施。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</w:tbl>
    <w:p w:rsidR="00A608D2" w:rsidRDefault="00A608D2" w:rsidP="00B663AF">
      <w:pPr>
        <w:framePr w:w="13627" w:wrap="notBeside" w:vAnchor="text" w:hAnchor="text" w:xAlign="center" w:y="1"/>
        <w:jc w:val="center"/>
        <w:rPr>
          <w:sz w:val="2"/>
          <w:szCs w:val="2"/>
        </w:rPr>
      </w:pPr>
    </w:p>
    <w:p w:rsidR="00A608D2" w:rsidRDefault="00A608D2" w:rsidP="00B663AF">
      <w:pPr>
        <w:jc w:val="center"/>
        <w:rPr>
          <w:sz w:val="2"/>
          <w:szCs w:val="2"/>
        </w:rPr>
      </w:pPr>
    </w:p>
    <w:tbl>
      <w:tblPr>
        <w:tblOverlap w:val="never"/>
        <w:tblW w:w="136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3"/>
        <w:gridCol w:w="2029"/>
        <w:gridCol w:w="6941"/>
        <w:gridCol w:w="1418"/>
        <w:gridCol w:w="1842"/>
      </w:tblGrid>
      <w:tr w:rsidR="00B663AF" w:rsidTr="009802E9">
        <w:trPr>
          <w:trHeight w:hRule="exact" w:val="614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ind w:left="220"/>
            </w:pPr>
            <w:r>
              <w:rPr>
                <w:rStyle w:val="2115pt"/>
              </w:rPr>
              <w:t>核验项目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核验内容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核验要点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</w:rPr>
              <w:t>核验方式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Default="00B663AF" w:rsidP="00B663AF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4267AA" w:rsidTr="009802E9">
        <w:trPr>
          <w:trHeight w:hRule="exact" w:val="958"/>
          <w:jc w:val="center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Pr="006C5CA1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34.设施设备管理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Pr="006C5CA1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是否定期维护食品贮存、加工、清洗消毒等设施、设备，是否定期对空气过滤装置进行清洁消毒，保证设施、设备运转正常。</w:t>
            </w:r>
          </w:p>
          <w:p w:rsidR="009802E9" w:rsidRPr="006C5CA1" w:rsidRDefault="009802E9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P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9802E9">
        <w:trPr>
          <w:trHeight w:hRule="exact" w:val="1127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Pr="006C5CA1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35.食堂餐具消毒和保管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9802E9" w:rsidRPr="006C5CA1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>
              <w:rPr>
                <w:rStyle w:val="211pt"/>
              </w:rPr>
              <w:t>是否对餐饮具进行规范清洗、消毒、保洁，是否釆用高温蒸煮方式进行充分消毒，并按要求进行 保管，避免交叉污染。</w:t>
            </w:r>
          </w:p>
          <w:p w:rsidR="0056695A" w:rsidRPr="006C5CA1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P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9802E9">
        <w:trPr>
          <w:trHeight w:hRule="exact" w:val="1143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36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生熟分开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9802E9" w:rsidRPr="009802E9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食品原料、成品、半成品及其加工、盛放器具、冷藏冷冻设施是否分开，且区分标志明显。是否禁止生冷、冷荤、凉菜等冷食制作和销售。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9802E9">
        <w:trPr>
          <w:trHeight w:hRule="exact" w:val="1131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37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食品添加剂管理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9802E9" w:rsidRPr="009802E9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食品添加剂管理是否符合专店釆购、专柜存放、专人负责、专用工具、专用台账要求。无非法添 加非食用物质和滥用食品添加剂行为，不购买、储存、使用亚硝酸盐。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  <w:r>
              <w:rPr>
                <w:rStyle w:val="211pt"/>
              </w:rPr>
              <w:t>查阅资料</w:t>
            </w:r>
          </w:p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9802E9">
        <w:trPr>
          <w:trHeight w:hRule="exact" w:val="855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38</w:t>
            </w:r>
            <w:r>
              <w:rPr>
                <w:rStyle w:val="211pt"/>
                <w:rFonts w:hint="eastAsia"/>
              </w:rPr>
              <w:t>.</w:t>
            </w:r>
            <w:r>
              <w:rPr>
                <w:rStyle w:val="211pt"/>
              </w:rPr>
              <w:t>严格就餐管理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Pr="004267A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Fonts w:eastAsia="PMingLiU"/>
              </w:rPr>
            </w:pPr>
            <w:r>
              <w:rPr>
                <w:rStyle w:val="211pt"/>
              </w:rPr>
              <w:t>查看就餐人数、食堂分布、用餐规模是否合理。是否安排错时错峰、单桌同向就餐等。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Default="004267AA" w:rsidP="004267A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</w:pPr>
            <w:r>
              <w:rPr>
                <w:rStyle w:val="211pt"/>
              </w:rPr>
              <w:t>实地查看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Pr="001A748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10FF5">
              <w:rPr>
                <w:rStyle w:val="211pt"/>
                <w:rFonts w:hint="eastAsia"/>
              </w:rPr>
              <w:t>后勤组</w:t>
            </w:r>
            <w:r>
              <w:rPr>
                <w:rStyle w:val="211pt"/>
                <w:rFonts w:hint="eastAsia"/>
              </w:rPr>
              <w:t>、</w:t>
            </w:r>
            <w:r w:rsidRPr="00110FF5">
              <w:rPr>
                <w:rStyle w:val="211pt"/>
                <w:rFonts w:hint="eastAsia"/>
              </w:rPr>
              <w:t>学工组</w:t>
            </w:r>
          </w:p>
          <w:p w:rsidR="004267AA" w:rsidRPr="00110FF5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1A7485">
              <w:rPr>
                <w:rStyle w:val="211pt"/>
                <w:rFonts w:hint="eastAsia"/>
              </w:rPr>
              <w:t>教工组</w:t>
            </w:r>
            <w:r>
              <w:rPr>
                <w:rStyle w:val="211pt"/>
                <w:rFonts w:hint="eastAsia"/>
              </w:rPr>
              <w:t>、</w:t>
            </w:r>
            <w:r w:rsidRPr="001A7485">
              <w:rPr>
                <w:rStyle w:val="211pt"/>
                <w:rFonts w:hint="eastAsia"/>
              </w:rPr>
              <w:t>外事组</w:t>
            </w:r>
          </w:p>
        </w:tc>
      </w:tr>
      <w:tr w:rsidR="004267AA" w:rsidTr="009802E9">
        <w:trPr>
          <w:trHeight w:hRule="exact" w:val="1703"/>
          <w:jc w:val="center"/>
        </w:trPr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Pr="005C2EE2" w:rsidRDefault="004267AA" w:rsidP="004267AA">
            <w:pPr>
              <w:framePr w:w="13627" w:wrap="notBeside" w:vAnchor="text" w:hAnchor="text" w:xAlign="center" w:y="1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  <w:lang w:eastAsia="en-US" w:bidi="en-US"/>
              </w:rPr>
              <w:t>39.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食堂操作规程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Default="004267AA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是否严格按照《餐饮服务食品安全操作规范》进行加工制作食品，做到烧熟煮透、生熟分开、荤素分开，确保熟制食品中心温度达到70°</w:t>
            </w:r>
            <w:r w:rsidRPr="00B443FB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C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以上。物资储备、人员管理、食品安全管理、消毒保洁等是否全面；现场询问食堂从业人员了解、掌握情况。</w:t>
            </w:r>
          </w:p>
          <w:p w:rsidR="009802E9" w:rsidRPr="009802E9" w:rsidRDefault="009802E9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Pr="005C2EE2" w:rsidRDefault="004267AA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  <w:p w:rsidR="004267AA" w:rsidRPr="005C2EE2" w:rsidRDefault="004267AA" w:rsidP="004267AA">
            <w:pPr>
              <w:framePr w:w="13627" w:wrap="notBeside" w:vAnchor="text" w:hAnchor="text" w:xAlign="center" w:y="1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随机访谈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56695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56695A">
              <w:rPr>
                <w:rStyle w:val="211pt"/>
                <w:rFonts w:hint="eastAsia"/>
              </w:rPr>
              <w:t>后勤组</w:t>
            </w:r>
          </w:p>
        </w:tc>
      </w:tr>
      <w:tr w:rsidR="004267AA" w:rsidTr="009802E9">
        <w:trPr>
          <w:trHeight w:hRule="exact" w:val="1126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4267AA" w:rsidRDefault="004267AA" w:rsidP="004267AA">
            <w:pPr>
              <w:framePr w:w="13627" w:wrap="notBeside" w:vAnchor="text" w:hAnchor="text" w:xAlign="center" w:y="1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4267AA" w:rsidRPr="005C2EE2" w:rsidRDefault="004267AA" w:rsidP="004267AA">
            <w:pPr>
              <w:framePr w:w="13627" w:wrap="notBeside" w:vAnchor="text" w:hAnchor="text" w:xAlign="center" w:y="1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40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食品留样</w:t>
            </w:r>
          </w:p>
        </w:tc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Default="004267AA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是否有专用留样设备并正常运转，有专人管理，是否按规定进行留样并做好记录。</w:t>
            </w:r>
          </w:p>
          <w:p w:rsidR="004267AA" w:rsidRPr="004267AA" w:rsidRDefault="004267AA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4267AA" w:rsidRPr="005C2EE2" w:rsidRDefault="004267AA" w:rsidP="004267A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  <w:p w:rsidR="004267AA" w:rsidRDefault="004267AA" w:rsidP="0056695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实地查看</w:t>
            </w:r>
          </w:p>
          <w:p w:rsidR="0056695A" w:rsidRPr="0056695A" w:rsidRDefault="0056695A" w:rsidP="0056695A">
            <w:pPr>
              <w:framePr w:w="13627" w:wrap="notBeside" w:vAnchor="text" w:hAnchor="text" w:xAlign="center" w:y="1"/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6695A" w:rsidRDefault="0056695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  <w:rFonts w:eastAsia="PMingLiU"/>
              </w:rPr>
            </w:pPr>
          </w:p>
          <w:p w:rsidR="004267AA" w:rsidRPr="0056695A" w:rsidRDefault="004267AA" w:rsidP="0056695A">
            <w:pPr>
              <w:pStyle w:val="20"/>
              <w:framePr w:w="13627" w:wrap="notBeside" w:vAnchor="text" w:hAnchor="text" w:xAlign="center" w:y="1"/>
              <w:shd w:val="clear" w:color="auto" w:fill="auto"/>
              <w:spacing w:before="0" w:after="0" w:line="240" w:lineRule="auto"/>
              <w:jc w:val="left"/>
              <w:rPr>
                <w:rStyle w:val="211pt"/>
              </w:rPr>
            </w:pPr>
            <w:r w:rsidRPr="0056695A">
              <w:rPr>
                <w:rStyle w:val="211pt"/>
                <w:rFonts w:hint="eastAsia"/>
              </w:rPr>
              <w:t>后勤组</w:t>
            </w:r>
          </w:p>
        </w:tc>
      </w:tr>
    </w:tbl>
    <w:p w:rsidR="00A608D2" w:rsidRDefault="00A608D2" w:rsidP="00B663AF">
      <w:pPr>
        <w:framePr w:w="13627" w:wrap="notBeside" w:vAnchor="text" w:hAnchor="text" w:xAlign="center" w:y="1"/>
        <w:jc w:val="center"/>
        <w:rPr>
          <w:sz w:val="2"/>
          <w:szCs w:val="2"/>
        </w:rPr>
      </w:pPr>
    </w:p>
    <w:p w:rsidR="00A608D2" w:rsidRDefault="00A608D2" w:rsidP="004267AA">
      <w:pPr>
        <w:framePr w:h="7811" w:hRule="exact" w:wrap="auto" w:hAnchor="text"/>
        <w:jc w:val="center"/>
        <w:rPr>
          <w:sz w:val="2"/>
          <w:szCs w:val="2"/>
        </w:rPr>
        <w:sectPr w:rsidR="00A608D2">
          <w:footerReference w:type="even" r:id="rId7"/>
          <w:footerReference w:type="default" r:id="rId8"/>
          <w:footerReference w:type="first" r:id="rId9"/>
          <w:pgSz w:w="16840" w:h="11900" w:orient="landscape"/>
          <w:pgMar w:top="1396" w:right="1633" w:bottom="1719" w:left="158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137" w:tblpY="1156"/>
        <w:tblOverlap w:val="never"/>
        <w:tblW w:w="136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1984"/>
        <w:gridCol w:w="6946"/>
        <w:gridCol w:w="1422"/>
        <w:gridCol w:w="1843"/>
      </w:tblGrid>
      <w:tr w:rsidR="00B663AF" w:rsidRPr="005C2EE2" w:rsidTr="0056695A">
        <w:trPr>
          <w:trHeight w:hRule="exact" w:val="61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b/>
                <w:bCs/>
                <w:kern w:val="2"/>
                <w:sz w:val="23"/>
                <w:szCs w:val="23"/>
                <w:shd w:val="clear" w:color="auto" w:fill="FFFFFF"/>
              </w:rPr>
              <w:lastRenderedPageBreak/>
              <w:t>核验项目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b/>
                <w:bCs/>
                <w:kern w:val="2"/>
                <w:sz w:val="23"/>
                <w:szCs w:val="23"/>
                <w:shd w:val="clear" w:color="auto" w:fill="FFFFFF"/>
              </w:rPr>
              <w:t>核验内容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b/>
                <w:bCs/>
                <w:kern w:val="2"/>
                <w:sz w:val="23"/>
                <w:szCs w:val="23"/>
                <w:shd w:val="clear" w:color="auto" w:fill="FFFFFF"/>
              </w:rPr>
              <w:t>核验要点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b/>
                <w:bCs/>
                <w:kern w:val="2"/>
                <w:sz w:val="23"/>
                <w:szCs w:val="23"/>
                <w:shd w:val="clear" w:color="auto" w:fill="FFFFFF"/>
              </w:rPr>
              <w:t>核验方式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Style w:val="2115pt"/>
                <w:rFonts w:hint="eastAsia"/>
                <w:lang w:eastAsia="zh-CN"/>
              </w:rPr>
              <w:t>工作</w:t>
            </w:r>
            <w:r w:rsidRPr="00E13F64">
              <w:rPr>
                <w:rStyle w:val="2115pt"/>
                <w:rFonts w:hint="eastAsia"/>
              </w:rPr>
              <w:t>分工</w:t>
            </w:r>
          </w:p>
        </w:tc>
      </w:tr>
      <w:tr w:rsidR="00B663AF" w:rsidRPr="005C2EE2" w:rsidTr="0056695A">
        <w:trPr>
          <w:trHeight w:hRule="exact" w:val="71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错峰返校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41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返校安排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是否有明确清晰的分期分批错峰返校方案。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学工组</w:t>
            </w:r>
            <w:r w:rsidR="00FD42CB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  <w:lang w:eastAsia="zh-CN"/>
              </w:rPr>
              <w:t>、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教工组外事组</w:t>
            </w:r>
          </w:p>
        </w:tc>
      </w:tr>
      <w:tr w:rsidR="00B663AF" w:rsidRPr="005C2EE2" w:rsidTr="0056695A">
        <w:trPr>
          <w:trHeight w:hRule="exact" w:val="70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校园出入管理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42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设立体温检测点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地点设置</w:t>
            </w:r>
            <w:r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  <w:lang w:eastAsia="zh-CN"/>
              </w:rPr>
              <w:t>，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人员安排，记录的管理等是否完备。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  <w:p w:rsidR="00B663AF" w:rsidRPr="005C2EE2" w:rsidRDefault="00B663AF" w:rsidP="004267AA">
            <w:pPr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实地查看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FD42CB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治安组</w:t>
            </w:r>
          </w:p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后勤组</w:t>
            </w:r>
          </w:p>
        </w:tc>
      </w:tr>
      <w:tr w:rsidR="00B663AF" w:rsidRPr="005C2EE2" w:rsidTr="0056695A">
        <w:trPr>
          <w:trHeight w:hRule="exact" w:val="865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43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外出审批制度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查看审批流程是否完整。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学工组</w:t>
            </w:r>
            <w:r w:rsidR="00FD42CB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  <w:lang w:eastAsia="zh-CN"/>
              </w:rPr>
              <w:t>、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教工组</w:t>
            </w:r>
          </w:p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外事组</w:t>
            </w:r>
          </w:p>
        </w:tc>
      </w:tr>
      <w:tr w:rsidR="00B663AF" w:rsidRPr="005C2EE2" w:rsidTr="0056695A">
        <w:trPr>
          <w:trHeight w:hRule="exact" w:val="653"/>
        </w:trPr>
        <w:tc>
          <w:tcPr>
            <w:tcW w:w="1413" w:type="dxa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44</w:t>
            </w: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外来人员实名登记备案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查看登记内容，备案表管理等。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治安组</w:t>
            </w:r>
          </w:p>
        </w:tc>
      </w:tr>
      <w:tr w:rsidR="00B663AF" w:rsidRPr="005C2EE2" w:rsidTr="0056695A">
        <w:trPr>
          <w:trHeight w:hRule="exact" w:val="70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教学准备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  <w:lang w:eastAsia="en-US" w:bidi="en-US"/>
              </w:rPr>
              <w:t>45</w:t>
            </w:r>
            <w:r w:rsidRPr="005C2EE2"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  <w:lang w:bidi="en-US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教学衔接计划</w:t>
            </w:r>
          </w:p>
          <w:p w:rsidR="00B663AF" w:rsidRPr="005C2EE2" w:rsidRDefault="00B663AF" w:rsidP="004267AA">
            <w:pPr>
              <w:rPr>
                <w:rFonts w:ascii="宋体" w:eastAsia="PMingLiU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是否制定线上教学和返校开学的教学衔接计划。</w:t>
            </w:r>
          </w:p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bottom"/>
          </w:tcPr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  <w:p w:rsidR="00B663AF" w:rsidRPr="005C2EE2" w:rsidRDefault="00B663AF" w:rsidP="004267AA">
            <w:pPr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教学组</w:t>
            </w:r>
          </w:p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外事组</w:t>
            </w:r>
          </w:p>
        </w:tc>
      </w:tr>
      <w:tr w:rsidR="00B663AF" w:rsidRPr="005C2EE2" w:rsidTr="0056695A">
        <w:trPr>
          <w:trHeight w:hRule="exact" w:val="721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  <w:lang w:eastAsia="en-US" w:bidi="en-US"/>
              </w:rPr>
              <w:t>46</w:t>
            </w:r>
            <w:r w:rsidRPr="005C2EE2">
              <w:rPr>
                <w:rFonts w:ascii="宋体" w:eastAsia="PMingLiU" w:hAnsi="宋体" w:cs="宋体"/>
                <w:spacing w:val="10"/>
                <w:kern w:val="2"/>
                <w:sz w:val="22"/>
                <w:szCs w:val="22"/>
                <w:shd w:val="clear" w:color="auto" w:fill="FFFFFF"/>
                <w:lang w:bidi="en-US"/>
              </w:rPr>
              <w:t>.</w:t>
            </w: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学业检测计划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是否制定学业检测计划。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  <w:t>查阅资料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教学组</w:t>
            </w:r>
          </w:p>
          <w:p w:rsidR="00B663AF" w:rsidRPr="005C2EE2" w:rsidRDefault="00B663AF" w:rsidP="004267AA">
            <w:pPr>
              <w:rPr>
                <w:rFonts w:ascii="宋体" w:eastAsia="宋体" w:hAnsi="宋体" w:cs="宋体"/>
                <w:spacing w:val="10"/>
                <w:kern w:val="2"/>
                <w:sz w:val="22"/>
                <w:szCs w:val="22"/>
                <w:shd w:val="clear" w:color="auto" w:fill="FFFFFF"/>
              </w:rPr>
            </w:pPr>
            <w:r w:rsidRPr="005C2EE2">
              <w:rPr>
                <w:rFonts w:ascii="宋体" w:eastAsia="宋体" w:hAnsi="宋体" w:cs="宋体" w:hint="eastAsia"/>
                <w:spacing w:val="10"/>
                <w:kern w:val="2"/>
                <w:sz w:val="22"/>
                <w:szCs w:val="22"/>
                <w:shd w:val="clear" w:color="auto" w:fill="FFFFFF"/>
              </w:rPr>
              <w:t>外事组</w:t>
            </w:r>
          </w:p>
        </w:tc>
      </w:tr>
    </w:tbl>
    <w:p w:rsidR="006D39BC" w:rsidRPr="005C2EE2" w:rsidRDefault="006D39BC" w:rsidP="0056695A">
      <w:pPr>
        <w:spacing w:after="37"/>
        <w:rPr>
          <w:lang w:val="en-US"/>
        </w:rPr>
      </w:pPr>
    </w:p>
    <w:sectPr w:rsidR="006D39BC" w:rsidRPr="005C2EE2" w:rsidSect="00A608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350" w:rsidRDefault="00D85350" w:rsidP="00A608D2">
      <w:r>
        <w:separator/>
      </w:r>
    </w:p>
  </w:endnote>
  <w:endnote w:type="continuationSeparator" w:id="0">
    <w:p w:rsidR="00D85350" w:rsidRDefault="00D85350" w:rsidP="00A6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0" w:rsidRDefault="00407890">
    <w:pPr>
      <w:rPr>
        <w:sz w:val="2"/>
        <w:szCs w:val="2"/>
      </w:rPr>
    </w:pPr>
    <w:r>
      <w:rPr>
        <w:noProof/>
        <w:lang w:val="en-US" w:eastAsia="zh-CN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5261610</wp:posOffset>
              </wp:positionH>
              <wp:positionV relativeFrom="page">
                <wp:posOffset>6675120</wp:posOffset>
              </wp:positionV>
              <wp:extent cx="95885" cy="197485"/>
              <wp:effectExtent l="3810" t="0" r="0" b="44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890" w:rsidRDefault="0040789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3716D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414.3pt;margin-top:525.6pt;width:7.55pt;height:15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" filled="f" stroked="f">
              <v:textbox style="mso-fit-shape-to-text:t" inset="0,0,0,0">
                <w:txbxContent>
                  <w:p w:rsidR="00407890" w:rsidRDefault="0040789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3716D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0" w:rsidRDefault="0040789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890" w:rsidRDefault="004078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350" w:rsidRDefault="00D85350" w:rsidP="00A608D2">
      <w:r>
        <w:separator/>
      </w:r>
    </w:p>
  </w:footnote>
  <w:footnote w:type="continuationSeparator" w:id="0">
    <w:p w:rsidR="00D85350" w:rsidRDefault="00D85350" w:rsidP="00A6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8C"/>
    <w:rsid w:val="00022595"/>
    <w:rsid w:val="000422DC"/>
    <w:rsid w:val="00073D9F"/>
    <w:rsid w:val="00077797"/>
    <w:rsid w:val="000B3AD2"/>
    <w:rsid w:val="000F2ACB"/>
    <w:rsid w:val="00110FF5"/>
    <w:rsid w:val="001146FD"/>
    <w:rsid w:val="0014693A"/>
    <w:rsid w:val="001A7485"/>
    <w:rsid w:val="001B10C6"/>
    <w:rsid w:val="00256552"/>
    <w:rsid w:val="002754B3"/>
    <w:rsid w:val="002E7389"/>
    <w:rsid w:val="00336194"/>
    <w:rsid w:val="00345A5B"/>
    <w:rsid w:val="00407890"/>
    <w:rsid w:val="004267AA"/>
    <w:rsid w:val="00427A64"/>
    <w:rsid w:val="00477D26"/>
    <w:rsid w:val="004D7242"/>
    <w:rsid w:val="004D7B24"/>
    <w:rsid w:val="004E3203"/>
    <w:rsid w:val="004E4D6E"/>
    <w:rsid w:val="0056695A"/>
    <w:rsid w:val="005A568C"/>
    <w:rsid w:val="005B2CFD"/>
    <w:rsid w:val="005C2EE2"/>
    <w:rsid w:val="0060008E"/>
    <w:rsid w:val="006030FB"/>
    <w:rsid w:val="00615678"/>
    <w:rsid w:val="00636310"/>
    <w:rsid w:val="00662229"/>
    <w:rsid w:val="006865F4"/>
    <w:rsid w:val="006A5BBA"/>
    <w:rsid w:val="006C5CA1"/>
    <w:rsid w:val="006D39BC"/>
    <w:rsid w:val="0071302F"/>
    <w:rsid w:val="008B292A"/>
    <w:rsid w:val="008D0078"/>
    <w:rsid w:val="00922998"/>
    <w:rsid w:val="00956902"/>
    <w:rsid w:val="00960AEA"/>
    <w:rsid w:val="009802E9"/>
    <w:rsid w:val="00990077"/>
    <w:rsid w:val="009A3B7F"/>
    <w:rsid w:val="00A007F2"/>
    <w:rsid w:val="00A3442E"/>
    <w:rsid w:val="00A557C5"/>
    <w:rsid w:val="00A608D2"/>
    <w:rsid w:val="00A61D63"/>
    <w:rsid w:val="00A646C8"/>
    <w:rsid w:val="00B161FE"/>
    <w:rsid w:val="00B443FB"/>
    <w:rsid w:val="00B663AF"/>
    <w:rsid w:val="00BC284D"/>
    <w:rsid w:val="00CE3EF3"/>
    <w:rsid w:val="00CE793E"/>
    <w:rsid w:val="00D10E4A"/>
    <w:rsid w:val="00D16F49"/>
    <w:rsid w:val="00D42999"/>
    <w:rsid w:val="00D718B3"/>
    <w:rsid w:val="00D82CD9"/>
    <w:rsid w:val="00D85350"/>
    <w:rsid w:val="00DE0A24"/>
    <w:rsid w:val="00DE1551"/>
    <w:rsid w:val="00DE2A7B"/>
    <w:rsid w:val="00E13F64"/>
    <w:rsid w:val="00E151BA"/>
    <w:rsid w:val="00E41F7A"/>
    <w:rsid w:val="00E513B1"/>
    <w:rsid w:val="00E630C1"/>
    <w:rsid w:val="00EF7FA7"/>
    <w:rsid w:val="00F25420"/>
    <w:rsid w:val="00F404A4"/>
    <w:rsid w:val="00F673E1"/>
    <w:rsid w:val="00FB624D"/>
    <w:rsid w:val="00FB7434"/>
    <w:rsid w:val="00FD42CB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9B31B"/>
  <w15:chartTrackingRefBased/>
  <w15:docId w15:val="{61A95A3D-2287-4DF7-8C1A-B2731253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08D2"/>
    <w:pPr>
      <w:widowControl w:val="0"/>
    </w:pPr>
    <w:rPr>
      <w:rFonts w:ascii="Microsoft JhengHei Light" w:eastAsia="Microsoft JhengHei Light" w:hAnsi="Microsoft JhengHei Light" w:cs="Microsoft JhengHei Light"/>
      <w:color w:val="000000"/>
      <w:kern w:val="0"/>
      <w:sz w:val="24"/>
      <w:szCs w:val="24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a4">
    <w:name w:val="页眉 字符"/>
    <w:basedOn w:val="a0"/>
    <w:link w:val="a3"/>
    <w:uiPriority w:val="99"/>
    <w:rsid w:val="00A608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8D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val="en-US" w:eastAsia="zh-CN" w:bidi="ar-SA"/>
    </w:rPr>
  </w:style>
  <w:style w:type="character" w:customStyle="1" w:styleId="a6">
    <w:name w:val="页脚 字符"/>
    <w:basedOn w:val="a0"/>
    <w:link w:val="a5"/>
    <w:uiPriority w:val="99"/>
    <w:rsid w:val="00A608D2"/>
    <w:rPr>
      <w:sz w:val="18"/>
      <w:szCs w:val="18"/>
    </w:rPr>
  </w:style>
  <w:style w:type="character" w:customStyle="1" w:styleId="a7">
    <w:name w:val="页眉或页脚_"/>
    <w:basedOn w:val="a0"/>
    <w:rsid w:val="00A608D2"/>
    <w:rPr>
      <w:rFonts w:ascii="宋体" w:eastAsia="宋体" w:hAnsi="宋体" w:cs="宋体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a8">
    <w:name w:val="页眉或页脚"/>
    <w:basedOn w:val="a7"/>
    <w:rsid w:val="00A608D2"/>
    <w:rPr>
      <w:rFonts w:ascii="宋体" w:eastAsia="宋体" w:hAnsi="宋体" w:cs="宋体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zh-TW" w:eastAsia="zh-TW" w:bidi="zh-TW"/>
    </w:rPr>
  </w:style>
  <w:style w:type="character" w:customStyle="1" w:styleId="2">
    <w:name w:val="正文文本 (2)_"/>
    <w:basedOn w:val="a0"/>
    <w:link w:val="20"/>
    <w:rsid w:val="00A608D2"/>
    <w:rPr>
      <w:rFonts w:ascii="宋体" w:eastAsia="宋体" w:hAnsi="宋体" w:cs="宋体"/>
      <w:sz w:val="30"/>
      <w:szCs w:val="30"/>
      <w:shd w:val="clear" w:color="auto" w:fill="FFFFFF"/>
    </w:rPr>
  </w:style>
  <w:style w:type="character" w:customStyle="1" w:styleId="4">
    <w:name w:val="正文文本 (4)_"/>
    <w:basedOn w:val="a0"/>
    <w:link w:val="40"/>
    <w:rsid w:val="00A608D2"/>
    <w:rPr>
      <w:rFonts w:ascii="宋体" w:eastAsia="宋体" w:hAnsi="宋体" w:cs="宋体"/>
      <w:spacing w:val="40"/>
      <w:sz w:val="30"/>
      <w:szCs w:val="30"/>
      <w:shd w:val="clear" w:color="auto" w:fill="FFFFFF"/>
    </w:rPr>
  </w:style>
  <w:style w:type="character" w:customStyle="1" w:styleId="21">
    <w:name w:val="标题 #2_"/>
    <w:basedOn w:val="a0"/>
    <w:link w:val="22"/>
    <w:rsid w:val="00A608D2"/>
    <w:rPr>
      <w:rFonts w:ascii="宋体" w:eastAsia="宋体" w:hAnsi="宋体" w:cs="宋体"/>
      <w:spacing w:val="-20"/>
      <w:sz w:val="44"/>
      <w:szCs w:val="44"/>
      <w:shd w:val="clear" w:color="auto" w:fill="FFFFFF"/>
    </w:rPr>
  </w:style>
  <w:style w:type="character" w:customStyle="1" w:styleId="211pt">
    <w:name w:val="正文文本 (2) + 11 pt"/>
    <w:aliases w:val="间距 0 pt"/>
    <w:basedOn w:val="2"/>
    <w:rsid w:val="00A608D2"/>
    <w:rPr>
      <w:rFonts w:ascii="宋体" w:eastAsia="宋体" w:hAnsi="宋体" w:cs="宋体"/>
      <w:color w:val="000000"/>
      <w:spacing w:val="10"/>
      <w:w w:val="100"/>
      <w:position w:val="0"/>
      <w:sz w:val="22"/>
      <w:szCs w:val="22"/>
      <w:shd w:val="clear" w:color="auto" w:fill="FFFFFF"/>
      <w:lang w:val="zh-TW" w:eastAsia="zh-TW" w:bidi="zh-TW"/>
    </w:rPr>
  </w:style>
  <w:style w:type="character" w:customStyle="1" w:styleId="2115pt">
    <w:name w:val="正文文本 (2) + 11.5 pt"/>
    <w:aliases w:val="粗体"/>
    <w:basedOn w:val="2"/>
    <w:rsid w:val="00A608D2"/>
    <w:rPr>
      <w:rFonts w:ascii="宋体" w:eastAsia="宋体" w:hAnsi="宋体" w:cs="宋体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zh-TW" w:eastAsia="zh-TW" w:bidi="zh-TW"/>
    </w:rPr>
  </w:style>
  <w:style w:type="character" w:customStyle="1" w:styleId="2MSReferenceSansSerif">
    <w:name w:val="正文文本 (2) + MS Reference Sans Serif"/>
    <w:aliases w:val="11 pt"/>
    <w:basedOn w:val="2"/>
    <w:rsid w:val="00A608D2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a9">
    <w:name w:val="表格标题_"/>
    <w:basedOn w:val="a0"/>
    <w:link w:val="aa"/>
    <w:rsid w:val="00A608D2"/>
    <w:rPr>
      <w:rFonts w:ascii="宋体" w:eastAsia="宋体" w:hAnsi="宋体" w:cs="宋体"/>
      <w:spacing w:val="10"/>
      <w:sz w:val="22"/>
      <w:shd w:val="clear" w:color="auto" w:fill="FFFFFF"/>
    </w:rPr>
  </w:style>
  <w:style w:type="paragraph" w:customStyle="1" w:styleId="20">
    <w:name w:val="正文文本 (2)"/>
    <w:basedOn w:val="a"/>
    <w:link w:val="2"/>
    <w:rsid w:val="00A608D2"/>
    <w:pPr>
      <w:shd w:val="clear" w:color="auto" w:fill="FFFFFF"/>
      <w:spacing w:before="360" w:after="1380" w:line="0" w:lineRule="atLeast"/>
      <w:jc w:val="center"/>
    </w:pPr>
    <w:rPr>
      <w:rFonts w:ascii="宋体" w:eastAsia="宋体" w:hAnsi="宋体" w:cs="宋体"/>
      <w:color w:val="auto"/>
      <w:kern w:val="2"/>
      <w:sz w:val="30"/>
      <w:szCs w:val="30"/>
      <w:lang w:val="en-US" w:eastAsia="zh-CN" w:bidi="ar-SA"/>
    </w:rPr>
  </w:style>
  <w:style w:type="paragraph" w:customStyle="1" w:styleId="40">
    <w:name w:val="正文文本 (4)"/>
    <w:basedOn w:val="a"/>
    <w:link w:val="4"/>
    <w:rsid w:val="00A608D2"/>
    <w:pPr>
      <w:shd w:val="clear" w:color="auto" w:fill="FFFFFF"/>
      <w:spacing w:after="240" w:line="0" w:lineRule="atLeast"/>
    </w:pPr>
    <w:rPr>
      <w:rFonts w:ascii="宋体" w:eastAsia="宋体" w:hAnsi="宋体" w:cs="宋体"/>
      <w:color w:val="auto"/>
      <w:spacing w:val="40"/>
      <w:kern w:val="2"/>
      <w:sz w:val="30"/>
      <w:szCs w:val="30"/>
      <w:lang w:val="en-US" w:eastAsia="zh-CN" w:bidi="ar-SA"/>
    </w:rPr>
  </w:style>
  <w:style w:type="paragraph" w:customStyle="1" w:styleId="22">
    <w:name w:val="标题 #2"/>
    <w:basedOn w:val="a"/>
    <w:link w:val="21"/>
    <w:rsid w:val="00A608D2"/>
    <w:pPr>
      <w:shd w:val="clear" w:color="auto" w:fill="FFFFFF"/>
      <w:spacing w:before="240" w:line="0" w:lineRule="atLeast"/>
      <w:jc w:val="center"/>
      <w:outlineLvl w:val="1"/>
    </w:pPr>
    <w:rPr>
      <w:rFonts w:ascii="宋体" w:eastAsia="宋体" w:hAnsi="宋体" w:cs="宋体"/>
      <w:color w:val="auto"/>
      <w:spacing w:val="-20"/>
      <w:kern w:val="2"/>
      <w:sz w:val="44"/>
      <w:szCs w:val="44"/>
      <w:lang w:val="en-US" w:eastAsia="zh-CN" w:bidi="ar-SA"/>
    </w:rPr>
  </w:style>
  <w:style w:type="paragraph" w:customStyle="1" w:styleId="aa">
    <w:name w:val="表格标题"/>
    <w:basedOn w:val="a"/>
    <w:link w:val="a9"/>
    <w:rsid w:val="00A608D2"/>
    <w:pPr>
      <w:shd w:val="clear" w:color="auto" w:fill="FFFFFF"/>
      <w:spacing w:line="0" w:lineRule="atLeast"/>
    </w:pPr>
    <w:rPr>
      <w:rFonts w:ascii="宋体" w:eastAsia="宋体" w:hAnsi="宋体" w:cs="宋体"/>
      <w:color w:val="auto"/>
      <w:spacing w:val="10"/>
      <w:kern w:val="2"/>
      <w:sz w:val="22"/>
      <w:szCs w:val="22"/>
      <w:lang w:val="en-US" w:eastAsia="zh-CN" w:bidi="ar-SA"/>
    </w:rPr>
  </w:style>
  <w:style w:type="paragraph" w:styleId="ab">
    <w:name w:val="Balloon Text"/>
    <w:basedOn w:val="a"/>
    <w:link w:val="ac"/>
    <w:uiPriority w:val="99"/>
    <w:semiHidden/>
    <w:unhideWhenUsed/>
    <w:rsid w:val="00FB624D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B624D"/>
    <w:rPr>
      <w:rFonts w:ascii="Microsoft JhengHei Light" w:eastAsia="Microsoft JhengHei Light" w:hAnsi="Microsoft JhengHei Light" w:cs="Microsoft JhengHei Light"/>
      <w:color w:val="000000"/>
      <w:kern w:val="0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1EC08-1869-42BB-8339-7EA458C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6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61</cp:revision>
  <cp:lastPrinted>2020-03-18T03:19:00Z</cp:lastPrinted>
  <dcterms:created xsi:type="dcterms:W3CDTF">2020-03-13T03:22:00Z</dcterms:created>
  <dcterms:modified xsi:type="dcterms:W3CDTF">2020-03-18T03:47:00Z</dcterms:modified>
</cp:coreProperties>
</file>